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12DB4" w14:textId="72EAA2B9" w:rsidR="00543580" w:rsidRPr="00CB3FA5" w:rsidRDefault="00543580" w:rsidP="00543580">
      <w:pPr>
        <w:spacing w:after="0" w:line="240" w:lineRule="auto"/>
        <w:jc w:val="center"/>
        <w:rPr>
          <w:b/>
          <w:color w:val="008000"/>
          <w:sz w:val="36"/>
          <w:szCs w:val="36"/>
        </w:rPr>
      </w:pPr>
      <w:bookmarkStart w:id="0" w:name="_Hlk68595453"/>
      <w:bookmarkEnd w:id="0"/>
      <w:r w:rsidRPr="00CB3FA5">
        <w:rPr>
          <w:b/>
          <w:color w:val="008000"/>
          <w:sz w:val="36"/>
          <w:szCs w:val="36"/>
        </w:rPr>
        <w:t>MERCATO IMMOBILIARE MILANO</w:t>
      </w:r>
      <w:r w:rsidR="008763E6" w:rsidRPr="00CB3FA5">
        <w:rPr>
          <w:b/>
          <w:color w:val="008000"/>
          <w:sz w:val="36"/>
          <w:szCs w:val="36"/>
        </w:rPr>
        <w:t>: PREZZI +2,8% NEL 2020</w:t>
      </w:r>
    </w:p>
    <w:p w14:paraId="488C9CAE" w14:textId="5799235F" w:rsidR="00A54775" w:rsidRPr="008763E6" w:rsidRDefault="008A105C" w:rsidP="00543580">
      <w:pPr>
        <w:spacing w:after="0" w:line="240" w:lineRule="auto"/>
        <w:jc w:val="center"/>
        <w:rPr>
          <w:b/>
          <w:color w:val="008000"/>
          <w:sz w:val="30"/>
          <w:szCs w:val="30"/>
        </w:rPr>
      </w:pPr>
      <w:r w:rsidRPr="008763E6">
        <w:rPr>
          <w:b/>
          <w:color w:val="008000"/>
          <w:sz w:val="30"/>
          <w:szCs w:val="30"/>
        </w:rPr>
        <w:t>Semicentro e periferia reggono</w:t>
      </w:r>
      <w:r w:rsidR="008763E6" w:rsidRPr="008763E6">
        <w:rPr>
          <w:b/>
          <w:color w:val="008000"/>
          <w:sz w:val="30"/>
          <w:szCs w:val="30"/>
        </w:rPr>
        <w:t>, il</w:t>
      </w:r>
      <w:r w:rsidR="00356518" w:rsidRPr="008763E6">
        <w:rPr>
          <w:b/>
          <w:color w:val="008000"/>
          <w:sz w:val="30"/>
          <w:szCs w:val="30"/>
        </w:rPr>
        <w:t xml:space="preserve"> Centro soffre la mancanza di investitori</w:t>
      </w:r>
    </w:p>
    <w:p w14:paraId="11531D9E" w14:textId="77777777" w:rsidR="00856338" w:rsidRDefault="00856338"/>
    <w:p w14:paraId="6DB8F65B" w14:textId="01074B66" w:rsidR="00A54775" w:rsidRDefault="000C5D71" w:rsidP="00A54775">
      <w:pPr>
        <w:spacing w:after="0" w:line="240" w:lineRule="auto"/>
        <w:jc w:val="both"/>
        <w:rPr>
          <w:b/>
          <w:bCs/>
          <w:i/>
          <w:iCs/>
        </w:rPr>
      </w:pPr>
      <w:r>
        <w:rPr>
          <w:b/>
          <w:bCs/>
          <w:i/>
          <w:iCs/>
        </w:rPr>
        <w:t>Secondo le analisi dell’Ufficio Studi Gruppo Tecnocasa, n</w:t>
      </w:r>
      <w:r w:rsidR="001423EF" w:rsidRPr="00543580">
        <w:rPr>
          <w:b/>
          <w:bCs/>
          <w:i/>
          <w:iCs/>
        </w:rPr>
        <w:t xml:space="preserve">el secondo semestre del 2020 i valori immobiliari a Milano hanno registrato un aumento dello 0,8% e tutto l’anno si chiude con +2,8%. Ha rallentato quindi la crescita dei valori </w:t>
      </w:r>
      <w:r w:rsidR="003A6F2A">
        <w:rPr>
          <w:b/>
          <w:bCs/>
          <w:i/>
          <w:iCs/>
        </w:rPr>
        <w:t>la metropoli</w:t>
      </w:r>
      <w:r w:rsidR="00396F55" w:rsidRPr="00543580">
        <w:rPr>
          <w:b/>
          <w:bCs/>
          <w:i/>
          <w:iCs/>
        </w:rPr>
        <w:t xml:space="preserve"> che aveva chiuso il 2019 con prezzi in aumento </w:t>
      </w:r>
      <w:r w:rsidR="00396F55" w:rsidRPr="00464AA0">
        <w:rPr>
          <w:b/>
          <w:bCs/>
          <w:i/>
          <w:iCs/>
        </w:rPr>
        <w:t xml:space="preserve">del </w:t>
      </w:r>
      <w:r w:rsidR="00464AA0" w:rsidRPr="00464AA0">
        <w:rPr>
          <w:b/>
          <w:bCs/>
          <w:i/>
          <w:iCs/>
        </w:rPr>
        <w:t>13</w:t>
      </w:r>
      <w:r w:rsidR="00396F55" w:rsidRPr="00464AA0">
        <w:rPr>
          <w:b/>
          <w:bCs/>
          <w:i/>
          <w:iCs/>
        </w:rPr>
        <w:t>%.</w:t>
      </w:r>
      <w:r w:rsidR="001423EF" w:rsidRPr="00543580">
        <w:rPr>
          <w:b/>
          <w:bCs/>
          <w:i/>
          <w:iCs/>
        </w:rPr>
        <w:t xml:space="preserve"> </w:t>
      </w:r>
    </w:p>
    <w:p w14:paraId="58BD5342" w14:textId="77777777" w:rsidR="00A54775" w:rsidRDefault="00A54775" w:rsidP="00A54775">
      <w:pPr>
        <w:spacing w:after="0" w:line="240" w:lineRule="auto"/>
        <w:jc w:val="both"/>
        <w:rPr>
          <w:b/>
          <w:bCs/>
          <w:i/>
          <w:iCs/>
        </w:rPr>
      </w:pPr>
    </w:p>
    <w:p w14:paraId="18ACD08B" w14:textId="33CD6474" w:rsidR="00A54775" w:rsidRPr="008A105C" w:rsidRDefault="00A54775" w:rsidP="00A54775">
      <w:pPr>
        <w:spacing w:after="0" w:line="240" w:lineRule="auto"/>
        <w:jc w:val="center"/>
        <w:rPr>
          <w:b/>
          <w:color w:val="008000"/>
          <w:sz w:val="24"/>
          <w:szCs w:val="24"/>
        </w:rPr>
      </w:pPr>
      <w:proofErr w:type="gramStart"/>
      <w:r w:rsidRPr="008A105C">
        <w:rPr>
          <w:b/>
          <w:color w:val="008000"/>
          <w:sz w:val="24"/>
          <w:szCs w:val="24"/>
        </w:rPr>
        <w:t>TREND</w:t>
      </w:r>
      <w:proofErr w:type="gramEnd"/>
      <w:r w:rsidRPr="008A105C">
        <w:rPr>
          <w:b/>
          <w:color w:val="008000"/>
          <w:sz w:val="24"/>
          <w:szCs w:val="24"/>
        </w:rPr>
        <w:t xml:space="preserve"> PREZZI MILANO</w:t>
      </w:r>
    </w:p>
    <w:tbl>
      <w:tblPr>
        <w:tblStyle w:val="Tabellagriglia6acolori-colore6"/>
        <w:tblpPr w:leftFromText="141" w:rightFromText="141" w:vertAnchor="text" w:horzAnchor="margin" w:tblpXSpec="center" w:tblpY="33"/>
        <w:tblW w:w="0" w:type="auto"/>
        <w:tblLook w:val="04A0" w:firstRow="1" w:lastRow="0" w:firstColumn="1" w:lastColumn="0" w:noHBand="0" w:noVBand="1"/>
      </w:tblPr>
      <w:tblGrid>
        <w:gridCol w:w="1084"/>
        <w:gridCol w:w="1084"/>
        <w:gridCol w:w="1084"/>
        <w:gridCol w:w="1084"/>
        <w:gridCol w:w="1084"/>
        <w:gridCol w:w="1084"/>
        <w:gridCol w:w="1472"/>
        <w:gridCol w:w="1472"/>
      </w:tblGrid>
      <w:tr w:rsidR="00A54775" w:rsidRPr="00BB0D37" w14:paraId="482140E9" w14:textId="77777777" w:rsidTr="008A105C">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084" w:type="dxa"/>
          </w:tcPr>
          <w:p w14:paraId="5028EEE9" w14:textId="77777777" w:rsidR="00A54775" w:rsidRPr="00BB0D37" w:rsidRDefault="00A54775" w:rsidP="00A54775">
            <w:pPr>
              <w:jc w:val="center"/>
              <w:rPr>
                <w:b w:val="0"/>
                <w:color w:val="auto"/>
              </w:rPr>
            </w:pPr>
            <w:r w:rsidRPr="00BB0D37">
              <w:rPr>
                <w:color w:val="auto"/>
              </w:rPr>
              <w:t>2013</w:t>
            </w:r>
          </w:p>
        </w:tc>
        <w:tc>
          <w:tcPr>
            <w:tcW w:w="1084" w:type="dxa"/>
          </w:tcPr>
          <w:p w14:paraId="4D625396"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2014</w:t>
            </w:r>
          </w:p>
        </w:tc>
        <w:tc>
          <w:tcPr>
            <w:tcW w:w="1084" w:type="dxa"/>
          </w:tcPr>
          <w:p w14:paraId="502D6D65"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2015</w:t>
            </w:r>
          </w:p>
        </w:tc>
        <w:tc>
          <w:tcPr>
            <w:tcW w:w="1084" w:type="dxa"/>
          </w:tcPr>
          <w:p w14:paraId="79CA959A"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2016</w:t>
            </w:r>
          </w:p>
        </w:tc>
        <w:tc>
          <w:tcPr>
            <w:tcW w:w="1084" w:type="dxa"/>
          </w:tcPr>
          <w:p w14:paraId="6BDA33F2"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2017</w:t>
            </w:r>
          </w:p>
        </w:tc>
        <w:tc>
          <w:tcPr>
            <w:tcW w:w="1084" w:type="dxa"/>
          </w:tcPr>
          <w:p w14:paraId="2D07C69F"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2018</w:t>
            </w:r>
          </w:p>
        </w:tc>
        <w:tc>
          <w:tcPr>
            <w:tcW w:w="1472" w:type="dxa"/>
          </w:tcPr>
          <w:p w14:paraId="1E5B9768"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rPr>
                <w:b w:val="0"/>
                <w:color w:val="auto"/>
              </w:rPr>
            </w:pPr>
            <w:r w:rsidRPr="00BB0D37">
              <w:rPr>
                <w:color w:val="auto"/>
              </w:rPr>
              <w:t>2019</w:t>
            </w:r>
          </w:p>
        </w:tc>
        <w:tc>
          <w:tcPr>
            <w:tcW w:w="1472" w:type="dxa"/>
          </w:tcPr>
          <w:p w14:paraId="3ACC3BDC" w14:textId="77777777" w:rsidR="00A54775" w:rsidRPr="00BB0D37" w:rsidRDefault="00A54775" w:rsidP="00A54775">
            <w:pPr>
              <w:jc w:val="center"/>
              <w:cnfStyle w:val="100000000000" w:firstRow="1" w:lastRow="0" w:firstColumn="0" w:lastColumn="0" w:oddVBand="0" w:evenVBand="0" w:oddHBand="0" w:evenHBand="0" w:firstRowFirstColumn="0" w:firstRowLastColumn="0" w:lastRowFirstColumn="0" w:lastRowLastColumn="0"/>
            </w:pPr>
            <w:r w:rsidRPr="007A511F">
              <w:rPr>
                <w:color w:val="auto"/>
              </w:rPr>
              <w:t>2020</w:t>
            </w:r>
          </w:p>
        </w:tc>
      </w:tr>
      <w:tr w:rsidR="00A54775" w:rsidRPr="00A54775" w14:paraId="25099B20" w14:textId="77777777" w:rsidTr="008A105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084" w:type="dxa"/>
          </w:tcPr>
          <w:p w14:paraId="3EC40A41" w14:textId="77777777" w:rsidR="00A54775" w:rsidRPr="00BB0D37" w:rsidRDefault="00A54775" w:rsidP="00A54775">
            <w:pPr>
              <w:jc w:val="center"/>
              <w:rPr>
                <w:b w:val="0"/>
                <w:bCs w:val="0"/>
                <w:color w:val="auto"/>
              </w:rPr>
            </w:pPr>
            <w:r w:rsidRPr="00BB0D37">
              <w:rPr>
                <w:b w:val="0"/>
                <w:bCs w:val="0"/>
                <w:color w:val="auto"/>
              </w:rPr>
              <w:t>-6,9%</w:t>
            </w:r>
          </w:p>
        </w:tc>
        <w:tc>
          <w:tcPr>
            <w:tcW w:w="1084" w:type="dxa"/>
          </w:tcPr>
          <w:p w14:paraId="01CA30C4"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BB0D37">
              <w:rPr>
                <w:color w:val="auto"/>
              </w:rPr>
              <w:t>-5,5%</w:t>
            </w:r>
          </w:p>
        </w:tc>
        <w:tc>
          <w:tcPr>
            <w:tcW w:w="1084" w:type="dxa"/>
          </w:tcPr>
          <w:p w14:paraId="44BD77D0"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BB0D37">
              <w:rPr>
                <w:color w:val="auto"/>
              </w:rPr>
              <w:t>-1,7%</w:t>
            </w:r>
          </w:p>
        </w:tc>
        <w:tc>
          <w:tcPr>
            <w:tcW w:w="1084" w:type="dxa"/>
          </w:tcPr>
          <w:p w14:paraId="33AA51A3"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BB0D37">
              <w:rPr>
                <w:color w:val="auto"/>
              </w:rPr>
              <w:t>-0,1%</w:t>
            </w:r>
          </w:p>
        </w:tc>
        <w:tc>
          <w:tcPr>
            <w:tcW w:w="1084" w:type="dxa"/>
          </w:tcPr>
          <w:p w14:paraId="280ABA5A"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BB0D37">
              <w:rPr>
                <w:color w:val="auto"/>
              </w:rPr>
              <w:t>+3,5%</w:t>
            </w:r>
          </w:p>
        </w:tc>
        <w:tc>
          <w:tcPr>
            <w:tcW w:w="1084" w:type="dxa"/>
          </w:tcPr>
          <w:p w14:paraId="3E9BC3E5"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BB0D37">
              <w:rPr>
                <w:color w:val="auto"/>
              </w:rPr>
              <w:t>+8,4%</w:t>
            </w:r>
          </w:p>
        </w:tc>
        <w:tc>
          <w:tcPr>
            <w:tcW w:w="1472" w:type="dxa"/>
          </w:tcPr>
          <w:p w14:paraId="78B700AE" w14:textId="77777777" w:rsidR="00A54775" w:rsidRPr="00BB0D37" w:rsidRDefault="00A54775" w:rsidP="00A54775">
            <w:pPr>
              <w:jc w:val="center"/>
              <w:cnfStyle w:val="000000100000" w:firstRow="0" w:lastRow="0" w:firstColumn="0" w:lastColumn="0" w:oddVBand="0" w:evenVBand="0" w:oddHBand="1" w:evenHBand="0" w:firstRowFirstColumn="0" w:firstRowLastColumn="0" w:lastRowFirstColumn="0" w:lastRowLastColumn="0"/>
              <w:rPr>
                <w:color w:val="auto"/>
              </w:rPr>
            </w:pPr>
            <w:r w:rsidRPr="00464AA0">
              <w:rPr>
                <w:color w:val="auto"/>
              </w:rPr>
              <w:t>+13%</w:t>
            </w:r>
          </w:p>
        </w:tc>
        <w:tc>
          <w:tcPr>
            <w:tcW w:w="1472" w:type="dxa"/>
          </w:tcPr>
          <w:p w14:paraId="1FA200E9" w14:textId="77777777" w:rsidR="00A54775" w:rsidRPr="00A54775" w:rsidRDefault="00A54775" w:rsidP="00A54775">
            <w:pPr>
              <w:jc w:val="center"/>
              <w:cnfStyle w:val="000000100000" w:firstRow="0" w:lastRow="0" w:firstColumn="0" w:lastColumn="0" w:oddVBand="0" w:evenVBand="0" w:oddHBand="1" w:evenHBand="0" w:firstRowFirstColumn="0" w:firstRowLastColumn="0" w:lastRowFirstColumn="0" w:lastRowLastColumn="0"/>
              <w:rPr>
                <w:b/>
                <w:bCs/>
                <w:color w:val="auto"/>
              </w:rPr>
            </w:pPr>
            <w:r w:rsidRPr="00A54775">
              <w:rPr>
                <w:b/>
                <w:bCs/>
                <w:color w:val="auto"/>
              </w:rPr>
              <w:t>+2,8%</w:t>
            </w:r>
          </w:p>
        </w:tc>
      </w:tr>
    </w:tbl>
    <w:p w14:paraId="220A4457" w14:textId="77777777" w:rsidR="00A54775" w:rsidRDefault="00A54775" w:rsidP="00543580">
      <w:pPr>
        <w:spacing w:after="0" w:line="240" w:lineRule="auto"/>
        <w:jc w:val="both"/>
        <w:rPr>
          <w:b/>
          <w:bCs/>
          <w:i/>
          <w:iCs/>
        </w:rPr>
      </w:pPr>
    </w:p>
    <w:p w14:paraId="1838B96F" w14:textId="268DF948" w:rsidR="001423EF" w:rsidRDefault="003A6F2A" w:rsidP="00543580">
      <w:pPr>
        <w:spacing w:after="0" w:line="240" w:lineRule="auto"/>
        <w:jc w:val="both"/>
        <w:rPr>
          <w:b/>
          <w:bCs/>
          <w:i/>
          <w:iCs/>
        </w:rPr>
      </w:pPr>
      <w:r>
        <w:rPr>
          <w:b/>
          <w:bCs/>
          <w:i/>
          <w:iCs/>
        </w:rPr>
        <w:t>Le</w:t>
      </w:r>
      <w:r w:rsidR="001423EF" w:rsidRPr="00543580">
        <w:rPr>
          <w:b/>
          <w:bCs/>
          <w:i/>
          <w:iCs/>
        </w:rPr>
        <w:t xml:space="preserve"> ultime </w:t>
      </w:r>
      <w:r>
        <w:rPr>
          <w:b/>
          <w:bCs/>
          <w:i/>
          <w:iCs/>
        </w:rPr>
        <w:t>indagini</w:t>
      </w:r>
      <w:r w:rsidR="001423EF" w:rsidRPr="00543580">
        <w:rPr>
          <w:b/>
          <w:bCs/>
          <w:i/>
          <w:iCs/>
        </w:rPr>
        <w:t xml:space="preserve"> presentano una città specchio degli effetti della pandemia: le zone semicentrali e periferiche</w:t>
      </w:r>
      <w:r w:rsidR="00856338" w:rsidRPr="00543580">
        <w:rPr>
          <w:b/>
          <w:bCs/>
          <w:i/>
          <w:iCs/>
        </w:rPr>
        <w:t>,</w:t>
      </w:r>
      <w:r w:rsidR="001423EF" w:rsidRPr="00543580">
        <w:rPr>
          <w:b/>
          <w:bCs/>
          <w:i/>
          <w:iCs/>
        </w:rPr>
        <w:t xml:space="preserve"> infatt</w:t>
      </w:r>
      <w:r w:rsidR="00856338" w:rsidRPr="00543580">
        <w:rPr>
          <w:b/>
          <w:bCs/>
          <w:i/>
          <w:iCs/>
        </w:rPr>
        <w:t>i,</w:t>
      </w:r>
      <w:r w:rsidR="001423EF" w:rsidRPr="00543580">
        <w:rPr>
          <w:b/>
          <w:bCs/>
          <w:i/>
          <w:iCs/>
        </w:rPr>
        <w:t xml:space="preserve"> hanno </w:t>
      </w:r>
      <w:r>
        <w:rPr>
          <w:b/>
          <w:bCs/>
          <w:i/>
          <w:iCs/>
        </w:rPr>
        <w:t>avuto risultati migliori rispetto a</w:t>
      </w:r>
      <w:r w:rsidR="001423EF" w:rsidRPr="00543580">
        <w:rPr>
          <w:b/>
          <w:bCs/>
          <w:i/>
          <w:iCs/>
        </w:rPr>
        <w:t xml:space="preserve"> quelle centrali</w:t>
      </w:r>
      <w:r w:rsidR="00A36D85" w:rsidRPr="00543580">
        <w:rPr>
          <w:b/>
          <w:bCs/>
          <w:i/>
          <w:iCs/>
        </w:rPr>
        <w:t xml:space="preserve"> che hanno risenti</w:t>
      </w:r>
      <w:r w:rsidR="00396F55" w:rsidRPr="00543580">
        <w:rPr>
          <w:b/>
          <w:bCs/>
          <w:i/>
          <w:iCs/>
        </w:rPr>
        <w:t>to del</w:t>
      </w:r>
      <w:r w:rsidR="00A36D85" w:rsidRPr="00543580">
        <w:rPr>
          <w:b/>
          <w:bCs/>
          <w:i/>
          <w:iCs/>
        </w:rPr>
        <w:t>la mancanza di investitori</w:t>
      </w:r>
      <w:r w:rsidR="00856338" w:rsidRPr="00543580">
        <w:rPr>
          <w:b/>
          <w:bCs/>
          <w:i/>
          <w:iCs/>
        </w:rPr>
        <w:t xml:space="preserve">, passati dal 26,8% del 2019 al 24,1% del 2020. Tra le macroaree che hanno </w:t>
      </w:r>
      <w:proofErr w:type="gramStart"/>
      <w:r w:rsidR="00396F55" w:rsidRPr="00543580">
        <w:rPr>
          <w:b/>
          <w:bCs/>
          <w:i/>
          <w:iCs/>
        </w:rPr>
        <w:t>subito</w:t>
      </w:r>
      <w:r w:rsidR="008763E6">
        <w:rPr>
          <w:b/>
          <w:bCs/>
          <w:i/>
          <w:iCs/>
        </w:rPr>
        <w:t xml:space="preserve"> </w:t>
      </w:r>
      <w:r w:rsidR="00856338" w:rsidRPr="00543580">
        <w:rPr>
          <w:b/>
          <w:bCs/>
          <w:i/>
          <w:iCs/>
        </w:rPr>
        <w:t>questo trend</w:t>
      </w:r>
      <w:proofErr w:type="gramEnd"/>
      <w:r w:rsidR="00856338" w:rsidRPr="00543580">
        <w:rPr>
          <w:b/>
          <w:bCs/>
          <w:i/>
          <w:iCs/>
        </w:rPr>
        <w:t xml:space="preserve"> ci sono </w:t>
      </w:r>
      <w:r w:rsidR="00A36D85" w:rsidRPr="00543580">
        <w:rPr>
          <w:b/>
          <w:bCs/>
          <w:i/>
          <w:iCs/>
        </w:rPr>
        <w:t>Stazione Centrale</w:t>
      </w:r>
      <w:r w:rsidR="00543580">
        <w:rPr>
          <w:b/>
          <w:bCs/>
          <w:i/>
          <w:iCs/>
        </w:rPr>
        <w:t>-</w:t>
      </w:r>
      <w:r w:rsidR="00A36D85" w:rsidRPr="00543580">
        <w:rPr>
          <w:b/>
          <w:bCs/>
          <w:i/>
          <w:iCs/>
        </w:rPr>
        <w:t>Fulvio Testi (</w:t>
      </w:r>
      <w:r w:rsidR="00C718D6" w:rsidRPr="00543580">
        <w:rPr>
          <w:b/>
          <w:bCs/>
          <w:i/>
          <w:iCs/>
        </w:rPr>
        <w:t>-1,7%) e Navigli</w:t>
      </w:r>
      <w:r w:rsidR="00543580">
        <w:rPr>
          <w:b/>
          <w:bCs/>
          <w:i/>
          <w:iCs/>
        </w:rPr>
        <w:t>-</w:t>
      </w:r>
      <w:r w:rsidR="00C718D6" w:rsidRPr="00543580">
        <w:rPr>
          <w:b/>
          <w:bCs/>
          <w:i/>
          <w:iCs/>
        </w:rPr>
        <w:t xml:space="preserve">Famagosta (-2,2%). </w:t>
      </w:r>
      <w:r w:rsidR="00856338" w:rsidRPr="00543580">
        <w:rPr>
          <w:b/>
          <w:bCs/>
          <w:i/>
          <w:iCs/>
        </w:rPr>
        <w:t>Ne</w:t>
      </w:r>
      <w:r w:rsidR="00672594" w:rsidRPr="00543580">
        <w:rPr>
          <w:b/>
          <w:bCs/>
          <w:i/>
          <w:iCs/>
        </w:rPr>
        <w:t>gli ultimi 10 anni i prezzi degli immobili a Milano hanno performato meglio rispetto</w:t>
      </w:r>
      <w:r w:rsidR="001E7F56" w:rsidRPr="00543580">
        <w:rPr>
          <w:b/>
          <w:bCs/>
          <w:i/>
          <w:iCs/>
        </w:rPr>
        <w:t xml:space="preserve"> alla media delle grandi città</w:t>
      </w:r>
      <w:r w:rsidR="001C709B" w:rsidRPr="00543580">
        <w:rPr>
          <w:b/>
          <w:bCs/>
          <w:i/>
          <w:iCs/>
        </w:rPr>
        <w:t xml:space="preserve"> (+2,1% Milano contro il -30% delle grandi metropoli)</w:t>
      </w:r>
      <w:r w:rsidR="001E7F56" w:rsidRPr="00543580">
        <w:rPr>
          <w:b/>
          <w:bCs/>
          <w:i/>
          <w:iCs/>
        </w:rPr>
        <w:t>.</w:t>
      </w:r>
      <w:r w:rsidR="001C709B" w:rsidRPr="00543580">
        <w:rPr>
          <w:b/>
          <w:bCs/>
          <w:i/>
          <w:iCs/>
        </w:rPr>
        <w:t xml:space="preserve"> </w:t>
      </w:r>
    </w:p>
    <w:p w14:paraId="67533C23" w14:textId="7F36F569" w:rsidR="00A54775" w:rsidRDefault="00A54775" w:rsidP="00543580">
      <w:pPr>
        <w:spacing w:after="0" w:line="240" w:lineRule="auto"/>
        <w:jc w:val="both"/>
        <w:rPr>
          <w:b/>
          <w:bCs/>
          <w:i/>
          <w:iCs/>
        </w:rPr>
      </w:pPr>
    </w:p>
    <w:p w14:paraId="18EDC929" w14:textId="77777777" w:rsidR="00A54775" w:rsidRDefault="00A54775" w:rsidP="008A105C">
      <w:pPr>
        <w:spacing w:after="0"/>
        <w:jc w:val="center"/>
        <w:rPr>
          <w:b/>
          <w:color w:val="0070C0"/>
          <w:sz w:val="24"/>
          <w:szCs w:val="24"/>
        </w:rPr>
      </w:pPr>
      <w:r>
        <w:rPr>
          <w:noProof/>
        </w:rPr>
        <w:drawing>
          <wp:inline distT="0" distB="0" distL="0" distR="0" wp14:anchorId="654C72B6" wp14:editId="25171D44">
            <wp:extent cx="5571490" cy="3133746"/>
            <wp:effectExtent l="0" t="0" r="0" b="9525"/>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579652" cy="3138337"/>
                    </a:xfrm>
                    <a:prstGeom prst="rect">
                      <a:avLst/>
                    </a:prstGeom>
                  </pic:spPr>
                </pic:pic>
              </a:graphicData>
            </a:graphic>
          </wp:inline>
        </w:drawing>
      </w:r>
    </w:p>
    <w:p w14:paraId="65E1565B" w14:textId="77777777" w:rsidR="008A105C" w:rsidRDefault="008A105C" w:rsidP="00A54775">
      <w:pPr>
        <w:spacing w:after="0" w:line="240" w:lineRule="auto"/>
        <w:jc w:val="center"/>
        <w:rPr>
          <w:b/>
          <w:color w:val="595959"/>
        </w:rPr>
      </w:pPr>
    </w:p>
    <w:p w14:paraId="54B830E9" w14:textId="670EBDC7" w:rsidR="008A105C" w:rsidRPr="00FC5A04" w:rsidRDefault="003A6F2A" w:rsidP="008A105C">
      <w:pPr>
        <w:spacing w:after="0"/>
        <w:jc w:val="both"/>
        <w:rPr>
          <w:sz w:val="24"/>
          <w:szCs w:val="24"/>
        </w:rPr>
      </w:pPr>
      <w:r>
        <w:rPr>
          <w:b/>
          <w:bCs/>
          <w:i/>
          <w:iCs/>
        </w:rPr>
        <w:t>Segno</w:t>
      </w:r>
      <w:r w:rsidR="008A105C" w:rsidRPr="00543580">
        <w:rPr>
          <w:b/>
          <w:bCs/>
          <w:i/>
          <w:iCs/>
        </w:rPr>
        <w:t xml:space="preserve"> negativo invece </w:t>
      </w:r>
      <w:r>
        <w:rPr>
          <w:b/>
          <w:bCs/>
          <w:i/>
          <w:iCs/>
        </w:rPr>
        <w:t xml:space="preserve">per le </w:t>
      </w:r>
      <w:r w:rsidR="008A105C" w:rsidRPr="00543580">
        <w:rPr>
          <w:b/>
          <w:bCs/>
          <w:i/>
          <w:iCs/>
        </w:rPr>
        <w:t xml:space="preserve">compravendite che chiudono il 2020 con un calo del 17,6% rispetto al 2019 e si portano a 21.625.  </w:t>
      </w:r>
    </w:p>
    <w:p w14:paraId="5F86C3B6" w14:textId="7F75D10A" w:rsidR="00A54775" w:rsidRPr="008A105C" w:rsidRDefault="00A54775" w:rsidP="00A54775">
      <w:pPr>
        <w:spacing w:after="0" w:line="240" w:lineRule="auto"/>
        <w:jc w:val="center"/>
        <w:rPr>
          <w:b/>
          <w:color w:val="008000"/>
          <w:sz w:val="24"/>
          <w:szCs w:val="24"/>
        </w:rPr>
      </w:pPr>
      <w:proofErr w:type="gramStart"/>
      <w:r w:rsidRPr="008A105C">
        <w:rPr>
          <w:b/>
          <w:color w:val="008000"/>
          <w:sz w:val="24"/>
          <w:szCs w:val="24"/>
        </w:rPr>
        <w:t>TREND</w:t>
      </w:r>
      <w:proofErr w:type="gramEnd"/>
      <w:r w:rsidRPr="008A105C">
        <w:rPr>
          <w:b/>
          <w:color w:val="008000"/>
          <w:sz w:val="24"/>
          <w:szCs w:val="24"/>
        </w:rPr>
        <w:t xml:space="preserve"> COMPRAVENDITE MILANO CITTA’</w:t>
      </w:r>
    </w:p>
    <w:tbl>
      <w:tblPr>
        <w:tblStyle w:val="Tabellagriglia6acolori-colore6"/>
        <w:tblW w:w="0" w:type="auto"/>
        <w:tblLook w:val="04A0" w:firstRow="1" w:lastRow="0" w:firstColumn="1" w:lastColumn="0" w:noHBand="0" w:noVBand="1"/>
      </w:tblPr>
      <w:tblGrid>
        <w:gridCol w:w="1247"/>
        <w:gridCol w:w="1073"/>
        <w:gridCol w:w="1160"/>
        <w:gridCol w:w="1160"/>
        <w:gridCol w:w="1160"/>
        <w:gridCol w:w="1160"/>
        <w:gridCol w:w="1160"/>
        <w:gridCol w:w="1378"/>
      </w:tblGrid>
      <w:tr w:rsidR="00A54775" w:rsidRPr="00E324AD" w14:paraId="361B37E6" w14:textId="77777777" w:rsidTr="008A105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47" w:type="dxa"/>
            <w:hideMark/>
          </w:tcPr>
          <w:p w14:paraId="500EFFF2" w14:textId="77777777" w:rsidR="00A54775" w:rsidRPr="008A105C" w:rsidRDefault="00A54775" w:rsidP="00B014ED">
            <w:pPr>
              <w:spacing w:line="360" w:lineRule="auto"/>
              <w:jc w:val="center"/>
              <w:rPr>
                <w:rFonts w:cs="Times New Roman"/>
                <w:bCs w:val="0"/>
                <w:color w:val="auto"/>
              </w:rPr>
            </w:pPr>
            <w:r w:rsidRPr="008A105C">
              <w:rPr>
                <w:bCs w:val="0"/>
                <w:color w:val="auto"/>
              </w:rPr>
              <w:t>2013</w:t>
            </w:r>
          </w:p>
        </w:tc>
        <w:tc>
          <w:tcPr>
            <w:tcW w:w="1073" w:type="dxa"/>
            <w:hideMark/>
          </w:tcPr>
          <w:p w14:paraId="6A7DD728"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8A105C">
              <w:rPr>
                <w:bCs w:val="0"/>
                <w:color w:val="auto"/>
              </w:rPr>
              <w:t>2014</w:t>
            </w:r>
          </w:p>
        </w:tc>
        <w:tc>
          <w:tcPr>
            <w:tcW w:w="1160" w:type="dxa"/>
            <w:hideMark/>
          </w:tcPr>
          <w:p w14:paraId="78B3F71D"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8A105C">
              <w:rPr>
                <w:bCs w:val="0"/>
                <w:color w:val="auto"/>
              </w:rPr>
              <w:t>2015</w:t>
            </w:r>
          </w:p>
        </w:tc>
        <w:tc>
          <w:tcPr>
            <w:tcW w:w="1160" w:type="dxa"/>
            <w:hideMark/>
          </w:tcPr>
          <w:p w14:paraId="2B1C0EB8"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8A105C">
              <w:rPr>
                <w:bCs w:val="0"/>
                <w:color w:val="auto"/>
              </w:rPr>
              <w:t>2016</w:t>
            </w:r>
          </w:p>
        </w:tc>
        <w:tc>
          <w:tcPr>
            <w:tcW w:w="1160" w:type="dxa"/>
            <w:hideMark/>
          </w:tcPr>
          <w:p w14:paraId="6E6D73FF"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8A105C">
              <w:rPr>
                <w:bCs w:val="0"/>
                <w:color w:val="auto"/>
              </w:rPr>
              <w:t>2017</w:t>
            </w:r>
          </w:p>
        </w:tc>
        <w:tc>
          <w:tcPr>
            <w:tcW w:w="1160" w:type="dxa"/>
            <w:hideMark/>
          </w:tcPr>
          <w:p w14:paraId="7807DE97"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8A105C">
              <w:rPr>
                <w:bCs w:val="0"/>
                <w:color w:val="auto"/>
              </w:rPr>
              <w:t>2018</w:t>
            </w:r>
          </w:p>
        </w:tc>
        <w:tc>
          <w:tcPr>
            <w:tcW w:w="1160" w:type="dxa"/>
          </w:tcPr>
          <w:p w14:paraId="60F348DB" w14:textId="77777777"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bCs w:val="0"/>
                <w:color w:val="auto"/>
              </w:rPr>
            </w:pPr>
            <w:r w:rsidRPr="008A105C">
              <w:rPr>
                <w:bCs w:val="0"/>
                <w:color w:val="auto"/>
              </w:rPr>
              <w:t>2019</w:t>
            </w:r>
          </w:p>
        </w:tc>
        <w:tc>
          <w:tcPr>
            <w:tcW w:w="1378" w:type="dxa"/>
          </w:tcPr>
          <w:p w14:paraId="703ED917" w14:textId="4BA42C2A" w:rsidR="00A54775" w:rsidRPr="008A105C" w:rsidRDefault="00A54775" w:rsidP="00B014ED">
            <w:pPr>
              <w:spacing w:line="360" w:lineRule="auto"/>
              <w:jc w:val="center"/>
              <w:cnfStyle w:val="100000000000" w:firstRow="1" w:lastRow="0" w:firstColumn="0" w:lastColumn="0" w:oddVBand="0" w:evenVBand="0" w:oddHBand="0" w:evenHBand="0" w:firstRowFirstColumn="0" w:firstRowLastColumn="0" w:lastRowFirstColumn="0" w:lastRowLastColumn="0"/>
              <w:rPr>
                <w:bCs w:val="0"/>
                <w:color w:val="auto"/>
              </w:rPr>
            </w:pPr>
            <w:r w:rsidRPr="008A105C">
              <w:rPr>
                <w:bCs w:val="0"/>
                <w:color w:val="auto"/>
              </w:rPr>
              <w:t>2020</w:t>
            </w:r>
          </w:p>
        </w:tc>
      </w:tr>
      <w:tr w:rsidR="008A105C" w:rsidRPr="008A105C" w14:paraId="4B9A09BC" w14:textId="77777777" w:rsidTr="008A10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47" w:type="dxa"/>
            <w:hideMark/>
          </w:tcPr>
          <w:p w14:paraId="4D3C45CD" w14:textId="77777777" w:rsidR="00A54775" w:rsidRPr="008A105C" w:rsidRDefault="00A54775" w:rsidP="00B014ED">
            <w:pPr>
              <w:spacing w:line="360" w:lineRule="auto"/>
              <w:jc w:val="center"/>
              <w:rPr>
                <w:rFonts w:cs="Times New Roman"/>
                <w:b w:val="0"/>
                <w:color w:val="auto"/>
              </w:rPr>
            </w:pPr>
            <w:r w:rsidRPr="008A105C">
              <w:rPr>
                <w:b w:val="0"/>
                <w:color w:val="auto"/>
              </w:rPr>
              <w:t>15.140</w:t>
            </w:r>
          </w:p>
        </w:tc>
        <w:tc>
          <w:tcPr>
            <w:tcW w:w="1073" w:type="dxa"/>
            <w:hideMark/>
          </w:tcPr>
          <w:p w14:paraId="1C4E9BBF" w14:textId="77777777"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rPr>
            </w:pPr>
            <w:r w:rsidRPr="008A105C">
              <w:rPr>
                <w:bCs/>
                <w:color w:val="auto"/>
              </w:rPr>
              <w:t>15.899</w:t>
            </w:r>
          </w:p>
        </w:tc>
        <w:tc>
          <w:tcPr>
            <w:tcW w:w="1160" w:type="dxa"/>
            <w:hideMark/>
          </w:tcPr>
          <w:p w14:paraId="0EB9B2CD" w14:textId="77777777"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rPr>
            </w:pPr>
            <w:r w:rsidRPr="008A105C">
              <w:rPr>
                <w:bCs/>
                <w:color w:val="auto"/>
              </w:rPr>
              <w:t>18.042</w:t>
            </w:r>
          </w:p>
        </w:tc>
        <w:tc>
          <w:tcPr>
            <w:tcW w:w="1160" w:type="dxa"/>
            <w:hideMark/>
          </w:tcPr>
          <w:p w14:paraId="050D0FBC" w14:textId="77777777"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rPr>
            </w:pPr>
            <w:r w:rsidRPr="008A105C">
              <w:rPr>
                <w:bCs/>
                <w:color w:val="auto"/>
              </w:rPr>
              <w:t>21.992</w:t>
            </w:r>
          </w:p>
        </w:tc>
        <w:tc>
          <w:tcPr>
            <w:tcW w:w="1160" w:type="dxa"/>
            <w:hideMark/>
          </w:tcPr>
          <w:p w14:paraId="612147AE" w14:textId="77777777"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rPr>
            </w:pPr>
            <w:r w:rsidRPr="008A105C">
              <w:rPr>
                <w:bCs/>
                <w:color w:val="auto"/>
              </w:rPr>
              <w:t>23.720</w:t>
            </w:r>
          </w:p>
        </w:tc>
        <w:tc>
          <w:tcPr>
            <w:tcW w:w="1160" w:type="dxa"/>
            <w:hideMark/>
          </w:tcPr>
          <w:p w14:paraId="54C7DABE" w14:textId="77777777"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rPr>
            </w:pPr>
            <w:r w:rsidRPr="008A105C">
              <w:rPr>
                <w:bCs/>
                <w:color w:val="auto"/>
              </w:rPr>
              <w:t>24.526</w:t>
            </w:r>
          </w:p>
        </w:tc>
        <w:tc>
          <w:tcPr>
            <w:tcW w:w="1160" w:type="dxa"/>
          </w:tcPr>
          <w:p w14:paraId="121F8085" w14:textId="3058A923" w:rsidR="00A54775" w:rsidRPr="008A105C" w:rsidRDefault="00A54775" w:rsidP="00B014ED">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rPr>
            </w:pPr>
            <w:r w:rsidRPr="008A105C">
              <w:rPr>
                <w:bCs/>
                <w:color w:val="auto"/>
              </w:rPr>
              <w:t>26.2</w:t>
            </w:r>
            <w:r w:rsidR="00464AA0">
              <w:rPr>
                <w:bCs/>
                <w:color w:val="auto"/>
              </w:rPr>
              <w:t>32</w:t>
            </w:r>
          </w:p>
        </w:tc>
        <w:tc>
          <w:tcPr>
            <w:tcW w:w="1378" w:type="dxa"/>
          </w:tcPr>
          <w:p w14:paraId="5D922B75" w14:textId="29FC89D5" w:rsidR="00A54775" w:rsidRPr="008A105C" w:rsidRDefault="008A105C" w:rsidP="00B014ED">
            <w:pPr>
              <w:jc w:val="center"/>
              <w:cnfStyle w:val="000000100000" w:firstRow="0" w:lastRow="0" w:firstColumn="0" w:lastColumn="0" w:oddVBand="0" w:evenVBand="0" w:oddHBand="1" w:evenHBand="0" w:firstRowFirstColumn="0" w:firstRowLastColumn="0" w:lastRowFirstColumn="0" w:lastRowLastColumn="0"/>
              <w:rPr>
                <w:color w:val="auto"/>
                <w:highlight w:val="green"/>
              </w:rPr>
            </w:pPr>
            <w:r w:rsidRPr="008A105C">
              <w:rPr>
                <w:b/>
                <w:bCs/>
                <w:color w:val="auto"/>
              </w:rPr>
              <w:t>21</w:t>
            </w:r>
            <w:r w:rsidR="00A54775" w:rsidRPr="008A105C">
              <w:rPr>
                <w:b/>
                <w:bCs/>
                <w:color w:val="auto"/>
              </w:rPr>
              <w:t>.</w:t>
            </w:r>
            <w:r w:rsidRPr="008A105C">
              <w:rPr>
                <w:b/>
                <w:bCs/>
                <w:color w:val="auto"/>
              </w:rPr>
              <w:t>625</w:t>
            </w:r>
          </w:p>
        </w:tc>
      </w:tr>
    </w:tbl>
    <w:p w14:paraId="6F745027" w14:textId="77777777" w:rsidR="00A54775" w:rsidRPr="00E324AD" w:rsidRDefault="00A54775" w:rsidP="00A54775">
      <w:pPr>
        <w:spacing w:after="0"/>
        <w:jc w:val="center"/>
        <w:rPr>
          <w:rFonts w:eastAsia="Times New Roman" w:cs="Calibri"/>
          <w:b/>
          <w:bCs/>
          <w:sz w:val="24"/>
          <w:szCs w:val="24"/>
          <w:lang w:eastAsia="it-IT"/>
        </w:rPr>
      </w:pPr>
    </w:p>
    <w:p w14:paraId="328C760C" w14:textId="25425AC6" w:rsidR="00A54775" w:rsidRDefault="00A54775" w:rsidP="00A54775">
      <w:pPr>
        <w:spacing w:after="0"/>
        <w:jc w:val="center"/>
        <w:rPr>
          <w:b/>
          <w:color w:val="595959"/>
        </w:rPr>
      </w:pPr>
    </w:p>
    <w:p w14:paraId="7DA12076" w14:textId="311A8665" w:rsidR="008A105C" w:rsidRDefault="008A105C" w:rsidP="00A54775">
      <w:pPr>
        <w:spacing w:after="0"/>
        <w:jc w:val="center"/>
        <w:rPr>
          <w:b/>
          <w:color w:val="595959"/>
        </w:rPr>
      </w:pPr>
    </w:p>
    <w:p w14:paraId="61A2A18A" w14:textId="371C0499" w:rsidR="00CB3FA5" w:rsidRDefault="00CB3FA5" w:rsidP="00A54775">
      <w:pPr>
        <w:spacing w:after="0"/>
        <w:jc w:val="center"/>
        <w:rPr>
          <w:b/>
          <w:color w:val="595959"/>
        </w:rPr>
      </w:pPr>
    </w:p>
    <w:p w14:paraId="48E936C6" w14:textId="77777777" w:rsidR="00CB3FA5" w:rsidRDefault="00CB3FA5" w:rsidP="00A54775">
      <w:pPr>
        <w:spacing w:after="0"/>
        <w:jc w:val="center"/>
        <w:rPr>
          <w:b/>
          <w:color w:val="595959"/>
        </w:rPr>
      </w:pPr>
    </w:p>
    <w:p w14:paraId="2C9A5855" w14:textId="77777777" w:rsidR="008A105C" w:rsidRPr="00543580" w:rsidRDefault="008A105C" w:rsidP="008A105C">
      <w:pPr>
        <w:spacing w:after="0" w:line="240" w:lineRule="auto"/>
        <w:jc w:val="both"/>
        <w:rPr>
          <w:b/>
          <w:color w:val="008000"/>
          <w:sz w:val="32"/>
          <w:szCs w:val="32"/>
        </w:rPr>
      </w:pPr>
      <w:r w:rsidRPr="00543580">
        <w:rPr>
          <w:b/>
          <w:color w:val="008000"/>
          <w:sz w:val="32"/>
          <w:szCs w:val="32"/>
        </w:rPr>
        <w:lastRenderedPageBreak/>
        <w:t>MACROAREE</w:t>
      </w:r>
    </w:p>
    <w:p w14:paraId="5E078FB9" w14:textId="77777777" w:rsidR="008A105C" w:rsidRDefault="008A105C" w:rsidP="00A54775">
      <w:pPr>
        <w:spacing w:after="0"/>
        <w:jc w:val="center"/>
        <w:rPr>
          <w:b/>
          <w:color w:val="595959"/>
        </w:rPr>
      </w:pPr>
    </w:p>
    <w:p w14:paraId="5C33E6B8" w14:textId="383B826E" w:rsidR="00A54775" w:rsidRPr="008A105C" w:rsidRDefault="00A54775" w:rsidP="00A54775">
      <w:pPr>
        <w:spacing w:after="0"/>
        <w:jc w:val="center"/>
        <w:rPr>
          <w:b/>
          <w:color w:val="008000"/>
          <w:sz w:val="24"/>
          <w:szCs w:val="24"/>
        </w:rPr>
      </w:pPr>
      <w:r w:rsidRPr="008A105C">
        <w:rPr>
          <w:b/>
          <w:color w:val="008000"/>
          <w:sz w:val="24"/>
          <w:szCs w:val="24"/>
        </w:rPr>
        <w:t>VARIAZIONI PERCENTUALI DEI PREZZI (I</w:t>
      </w:r>
      <w:r w:rsidR="008A105C" w:rsidRPr="008A105C">
        <w:rPr>
          <w:b/>
          <w:color w:val="008000"/>
          <w:sz w:val="24"/>
          <w:szCs w:val="24"/>
        </w:rPr>
        <w:t>I</w:t>
      </w:r>
      <w:r w:rsidRPr="008A105C">
        <w:rPr>
          <w:b/>
          <w:color w:val="008000"/>
          <w:sz w:val="24"/>
          <w:szCs w:val="24"/>
        </w:rPr>
        <w:t xml:space="preserve"> SEMESTRE 2020 rispetto al I SEMESTRE 20</w:t>
      </w:r>
      <w:r w:rsidR="008A105C" w:rsidRPr="008A105C">
        <w:rPr>
          <w:b/>
          <w:color w:val="008000"/>
          <w:sz w:val="24"/>
          <w:szCs w:val="24"/>
        </w:rPr>
        <w:t>20</w:t>
      </w:r>
      <w:r w:rsidRPr="008A105C">
        <w:rPr>
          <w:b/>
          <w:color w:val="008000"/>
          <w:sz w:val="24"/>
          <w:szCs w:val="24"/>
        </w:rPr>
        <w:t>)</w:t>
      </w:r>
    </w:p>
    <w:tbl>
      <w:tblPr>
        <w:tblW w:w="5760" w:type="dxa"/>
        <w:jc w:val="center"/>
        <w:tblCellMar>
          <w:left w:w="70" w:type="dxa"/>
          <w:right w:w="70" w:type="dxa"/>
        </w:tblCellMar>
        <w:tblLook w:val="04A0" w:firstRow="1" w:lastRow="0" w:firstColumn="1" w:lastColumn="0" w:noHBand="0" w:noVBand="1"/>
      </w:tblPr>
      <w:tblGrid>
        <w:gridCol w:w="4040"/>
        <w:gridCol w:w="1720"/>
      </w:tblGrid>
      <w:tr w:rsidR="00A54775" w:rsidRPr="004900A1" w14:paraId="50BF82E2" w14:textId="77777777" w:rsidTr="00B014ED">
        <w:trPr>
          <w:trHeight w:val="360"/>
          <w:jc w:val="center"/>
        </w:trPr>
        <w:tc>
          <w:tcPr>
            <w:tcW w:w="4040" w:type="dxa"/>
            <w:tcBorders>
              <w:top w:val="nil"/>
              <w:left w:val="nil"/>
              <w:bottom w:val="nil"/>
              <w:right w:val="nil"/>
            </w:tcBorders>
            <w:shd w:val="clear" w:color="auto" w:fill="auto"/>
            <w:noWrap/>
            <w:vAlign w:val="bottom"/>
            <w:hideMark/>
          </w:tcPr>
          <w:p w14:paraId="4E27191A" w14:textId="77777777" w:rsidR="00A54775" w:rsidRPr="004900A1" w:rsidRDefault="00A54775" w:rsidP="00B014ED">
            <w:pPr>
              <w:spacing w:after="0" w:line="240" w:lineRule="auto"/>
              <w:rPr>
                <w:rFonts w:ascii="Calibri" w:eastAsia="Times New Roman" w:hAnsi="Calibri" w:cs="Calibri"/>
                <w:b/>
                <w:bCs/>
                <w:sz w:val="28"/>
                <w:szCs w:val="28"/>
                <w:lang w:eastAsia="it-IT"/>
              </w:rPr>
            </w:pPr>
            <w:r w:rsidRPr="004900A1">
              <w:rPr>
                <w:rFonts w:ascii="Calibri" w:eastAsia="Times New Roman" w:hAnsi="Calibri" w:cs="Calibri"/>
                <w:b/>
                <w:bCs/>
                <w:sz w:val="28"/>
                <w:szCs w:val="28"/>
                <w:lang w:eastAsia="it-IT"/>
              </w:rPr>
              <w:t>MILANO</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AE8BD" w14:textId="6F91AB41" w:rsidR="00A54775" w:rsidRPr="004900A1" w:rsidRDefault="00A54775" w:rsidP="00B014ED">
            <w:pPr>
              <w:spacing w:after="0" w:line="240" w:lineRule="auto"/>
              <w:jc w:val="center"/>
              <w:rPr>
                <w:rFonts w:ascii="Calibri" w:eastAsia="Times New Roman" w:hAnsi="Calibri" w:cs="Calibri"/>
                <w:b/>
                <w:bCs/>
                <w:sz w:val="24"/>
                <w:szCs w:val="24"/>
                <w:lang w:eastAsia="it-IT"/>
              </w:rPr>
            </w:pPr>
            <w:r w:rsidRPr="004900A1">
              <w:rPr>
                <w:rFonts w:ascii="Calibri" w:eastAsia="Times New Roman" w:hAnsi="Calibri" w:cs="Calibri"/>
                <w:b/>
                <w:bCs/>
                <w:sz w:val="24"/>
                <w:szCs w:val="24"/>
                <w:lang w:eastAsia="it-IT"/>
              </w:rPr>
              <w:t>I</w:t>
            </w:r>
            <w:r w:rsidR="008A105C">
              <w:rPr>
                <w:rFonts w:ascii="Calibri" w:eastAsia="Times New Roman" w:hAnsi="Calibri" w:cs="Calibri"/>
                <w:b/>
                <w:bCs/>
                <w:sz w:val="24"/>
                <w:szCs w:val="24"/>
                <w:lang w:eastAsia="it-IT"/>
              </w:rPr>
              <w:t>I</w:t>
            </w:r>
            <w:r w:rsidRPr="004900A1">
              <w:rPr>
                <w:rFonts w:ascii="Calibri" w:eastAsia="Times New Roman" w:hAnsi="Calibri" w:cs="Calibri"/>
                <w:b/>
                <w:bCs/>
                <w:sz w:val="24"/>
                <w:szCs w:val="24"/>
                <w:lang w:eastAsia="it-IT"/>
              </w:rPr>
              <w:t xml:space="preserve"> </w:t>
            </w:r>
            <w:proofErr w:type="spellStart"/>
            <w:r w:rsidRPr="004900A1">
              <w:rPr>
                <w:rFonts w:ascii="Calibri" w:eastAsia="Times New Roman" w:hAnsi="Calibri" w:cs="Calibri"/>
                <w:b/>
                <w:bCs/>
                <w:sz w:val="24"/>
                <w:szCs w:val="24"/>
                <w:lang w:eastAsia="it-IT"/>
              </w:rPr>
              <w:t>sem</w:t>
            </w:r>
            <w:proofErr w:type="spellEnd"/>
            <w:r w:rsidRPr="004900A1">
              <w:rPr>
                <w:rFonts w:ascii="Calibri" w:eastAsia="Times New Roman" w:hAnsi="Calibri" w:cs="Calibri"/>
                <w:b/>
                <w:bCs/>
                <w:sz w:val="24"/>
                <w:szCs w:val="24"/>
                <w:lang w:eastAsia="it-IT"/>
              </w:rPr>
              <w:t xml:space="preserve"> 20</w:t>
            </w:r>
            <w:r>
              <w:rPr>
                <w:rFonts w:ascii="Calibri" w:eastAsia="Times New Roman" w:hAnsi="Calibri" w:cs="Calibri"/>
                <w:b/>
                <w:bCs/>
                <w:sz w:val="24"/>
                <w:szCs w:val="24"/>
                <w:lang w:eastAsia="it-IT"/>
              </w:rPr>
              <w:t>20</w:t>
            </w:r>
          </w:p>
        </w:tc>
      </w:tr>
      <w:tr w:rsidR="00A54775" w:rsidRPr="00FC5A04" w14:paraId="7BAAA907" w14:textId="77777777" w:rsidTr="008A105C">
        <w:trPr>
          <w:trHeight w:val="312"/>
          <w:jc w:val="center"/>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D0B57"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Centro</w:t>
            </w:r>
          </w:p>
        </w:tc>
        <w:tc>
          <w:tcPr>
            <w:tcW w:w="1720" w:type="dxa"/>
            <w:tcBorders>
              <w:top w:val="nil"/>
              <w:left w:val="nil"/>
              <w:bottom w:val="single" w:sz="4" w:space="0" w:color="auto"/>
              <w:right w:val="single" w:sz="4" w:space="0" w:color="auto"/>
            </w:tcBorders>
            <w:shd w:val="clear" w:color="auto" w:fill="auto"/>
            <w:noWrap/>
            <w:vAlign w:val="bottom"/>
          </w:tcPr>
          <w:p w14:paraId="3578F062" w14:textId="35FA75C0" w:rsidR="00A54775" w:rsidRPr="00FC5A04" w:rsidRDefault="00EE70E6" w:rsidP="00B014ED">
            <w:pPr>
              <w:spacing w:after="0" w:line="240" w:lineRule="auto"/>
              <w:jc w:val="center"/>
              <w:rPr>
                <w:rFonts w:ascii="Calibri" w:eastAsia="Times New Roman" w:hAnsi="Calibri" w:cs="Calibri"/>
                <w:b/>
                <w:bCs/>
                <w:sz w:val="24"/>
                <w:szCs w:val="24"/>
                <w:lang w:eastAsia="it-IT"/>
              </w:rPr>
            </w:pPr>
            <w:r w:rsidRPr="00CB3FA5">
              <w:rPr>
                <w:rFonts w:ascii="Calibri" w:eastAsia="Times New Roman" w:hAnsi="Calibri" w:cs="Calibri"/>
                <w:b/>
                <w:bCs/>
                <w:color w:val="FF0000"/>
                <w:sz w:val="24"/>
                <w:szCs w:val="24"/>
                <w:lang w:eastAsia="it-IT"/>
              </w:rPr>
              <w:t>-1</w:t>
            </w:r>
            <w:r w:rsidR="00E1718B">
              <w:rPr>
                <w:rFonts w:ascii="Calibri" w:eastAsia="Times New Roman" w:hAnsi="Calibri" w:cs="Calibri"/>
                <w:b/>
                <w:bCs/>
                <w:color w:val="FF0000"/>
                <w:sz w:val="24"/>
                <w:szCs w:val="24"/>
                <w:lang w:eastAsia="it-IT"/>
              </w:rPr>
              <w:t>,3</w:t>
            </w:r>
            <w:r w:rsidRPr="00CB3FA5">
              <w:rPr>
                <w:rFonts w:ascii="Calibri" w:eastAsia="Times New Roman" w:hAnsi="Calibri" w:cs="Calibri"/>
                <w:b/>
                <w:bCs/>
                <w:color w:val="FF0000"/>
                <w:sz w:val="24"/>
                <w:szCs w:val="24"/>
                <w:lang w:eastAsia="it-IT"/>
              </w:rPr>
              <w:t>%</w:t>
            </w:r>
          </w:p>
        </w:tc>
      </w:tr>
      <w:tr w:rsidR="00A54775" w:rsidRPr="00FC5A04" w14:paraId="73406645"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D23720B"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Vercelli - Lorenteggio</w:t>
            </w:r>
          </w:p>
        </w:tc>
        <w:tc>
          <w:tcPr>
            <w:tcW w:w="1720" w:type="dxa"/>
            <w:tcBorders>
              <w:top w:val="nil"/>
              <w:left w:val="nil"/>
              <w:bottom w:val="single" w:sz="4" w:space="0" w:color="auto"/>
              <w:right w:val="single" w:sz="4" w:space="0" w:color="auto"/>
            </w:tcBorders>
            <w:shd w:val="clear" w:color="auto" w:fill="auto"/>
            <w:noWrap/>
            <w:vAlign w:val="bottom"/>
          </w:tcPr>
          <w:p w14:paraId="33DAFD9E" w14:textId="65E24C53" w:rsidR="00A54775" w:rsidRPr="00FC5A04" w:rsidRDefault="00EE70E6" w:rsidP="00B014ED">
            <w:pPr>
              <w:spacing w:after="0" w:line="240" w:lineRule="auto"/>
              <w:jc w:val="center"/>
              <w:rPr>
                <w:rFonts w:ascii="Calibri" w:eastAsia="Times New Roman" w:hAnsi="Calibri" w:cs="Calibri"/>
                <w:b/>
                <w:bCs/>
                <w:sz w:val="24"/>
                <w:szCs w:val="24"/>
                <w:lang w:eastAsia="it-IT"/>
              </w:rPr>
            </w:pPr>
            <w:r>
              <w:rPr>
                <w:rFonts w:ascii="Calibri" w:eastAsia="Times New Roman" w:hAnsi="Calibri" w:cs="Calibri"/>
                <w:b/>
                <w:bCs/>
                <w:sz w:val="24"/>
                <w:szCs w:val="24"/>
                <w:lang w:eastAsia="it-IT"/>
              </w:rPr>
              <w:t>0,9%</w:t>
            </w:r>
          </w:p>
        </w:tc>
      </w:tr>
      <w:tr w:rsidR="00A54775" w:rsidRPr="00FC5A04" w14:paraId="15C349B2"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8A05709"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Fiera - San Siro</w:t>
            </w:r>
          </w:p>
        </w:tc>
        <w:tc>
          <w:tcPr>
            <w:tcW w:w="1720" w:type="dxa"/>
            <w:tcBorders>
              <w:top w:val="nil"/>
              <w:left w:val="nil"/>
              <w:bottom w:val="single" w:sz="4" w:space="0" w:color="auto"/>
              <w:right w:val="single" w:sz="4" w:space="0" w:color="auto"/>
            </w:tcBorders>
            <w:shd w:val="clear" w:color="auto" w:fill="auto"/>
            <w:noWrap/>
            <w:vAlign w:val="bottom"/>
          </w:tcPr>
          <w:p w14:paraId="0A37B264" w14:textId="494D8A23" w:rsidR="00A54775" w:rsidRPr="00FC5A04" w:rsidRDefault="00EE70E6" w:rsidP="00B014ED">
            <w:pPr>
              <w:spacing w:after="0" w:line="240" w:lineRule="auto"/>
              <w:jc w:val="center"/>
              <w:rPr>
                <w:rFonts w:ascii="Calibri" w:eastAsia="Times New Roman" w:hAnsi="Calibri" w:cs="Calibri"/>
                <w:b/>
                <w:bCs/>
                <w:sz w:val="24"/>
                <w:szCs w:val="24"/>
                <w:lang w:eastAsia="it-IT"/>
              </w:rPr>
            </w:pPr>
            <w:r>
              <w:rPr>
                <w:rFonts w:ascii="Calibri" w:eastAsia="Times New Roman" w:hAnsi="Calibri" w:cs="Calibri"/>
                <w:b/>
                <w:bCs/>
                <w:sz w:val="24"/>
                <w:szCs w:val="24"/>
                <w:lang w:eastAsia="it-IT"/>
              </w:rPr>
              <w:t>3,6%</w:t>
            </w:r>
          </w:p>
        </w:tc>
      </w:tr>
      <w:tr w:rsidR="00A54775" w:rsidRPr="00FC5A04" w14:paraId="48D9912E"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FEF014F"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Bovisa - Sempione</w:t>
            </w:r>
          </w:p>
        </w:tc>
        <w:tc>
          <w:tcPr>
            <w:tcW w:w="1720" w:type="dxa"/>
            <w:tcBorders>
              <w:top w:val="nil"/>
              <w:left w:val="nil"/>
              <w:bottom w:val="single" w:sz="4" w:space="0" w:color="auto"/>
              <w:right w:val="single" w:sz="4" w:space="0" w:color="auto"/>
            </w:tcBorders>
            <w:shd w:val="clear" w:color="auto" w:fill="auto"/>
            <w:noWrap/>
            <w:vAlign w:val="bottom"/>
          </w:tcPr>
          <w:p w14:paraId="0F123720" w14:textId="4A81D2C0" w:rsidR="00A54775" w:rsidRPr="00FC5A04" w:rsidRDefault="00EE70E6" w:rsidP="00B014ED">
            <w:pPr>
              <w:spacing w:after="0" w:line="240" w:lineRule="auto"/>
              <w:jc w:val="center"/>
              <w:rPr>
                <w:rFonts w:ascii="Calibri" w:eastAsia="Times New Roman" w:hAnsi="Calibri" w:cs="Calibri"/>
                <w:b/>
                <w:bCs/>
                <w:sz w:val="24"/>
                <w:szCs w:val="24"/>
                <w:lang w:eastAsia="it-IT"/>
              </w:rPr>
            </w:pPr>
            <w:r>
              <w:rPr>
                <w:rFonts w:ascii="Calibri" w:eastAsia="Times New Roman" w:hAnsi="Calibri" w:cs="Calibri"/>
                <w:b/>
                <w:bCs/>
                <w:sz w:val="24"/>
                <w:szCs w:val="24"/>
                <w:lang w:eastAsia="it-IT"/>
              </w:rPr>
              <w:t>3,6%</w:t>
            </w:r>
          </w:p>
        </w:tc>
      </w:tr>
      <w:tr w:rsidR="00A54775" w:rsidRPr="00FC5A04" w14:paraId="7D0F6C8E"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DA36149"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Stazione Centrale - Gioia - F. Testi</w:t>
            </w:r>
          </w:p>
        </w:tc>
        <w:tc>
          <w:tcPr>
            <w:tcW w:w="1720" w:type="dxa"/>
            <w:tcBorders>
              <w:top w:val="nil"/>
              <w:left w:val="nil"/>
              <w:bottom w:val="single" w:sz="4" w:space="0" w:color="auto"/>
              <w:right w:val="single" w:sz="4" w:space="0" w:color="auto"/>
            </w:tcBorders>
            <w:shd w:val="clear" w:color="auto" w:fill="auto"/>
            <w:noWrap/>
            <w:vAlign w:val="bottom"/>
          </w:tcPr>
          <w:p w14:paraId="5FD8039C" w14:textId="34AFCC1B" w:rsidR="00A54775" w:rsidRPr="00FC5A04" w:rsidRDefault="00EE70E6" w:rsidP="00B014ED">
            <w:pPr>
              <w:spacing w:after="0" w:line="240" w:lineRule="auto"/>
              <w:jc w:val="center"/>
              <w:rPr>
                <w:rFonts w:ascii="Calibri" w:eastAsia="Times New Roman" w:hAnsi="Calibri" w:cs="Calibri"/>
                <w:b/>
                <w:bCs/>
                <w:sz w:val="24"/>
                <w:szCs w:val="24"/>
                <w:lang w:eastAsia="it-IT"/>
              </w:rPr>
            </w:pPr>
            <w:r w:rsidRPr="00CB3FA5">
              <w:rPr>
                <w:rFonts w:ascii="Calibri" w:eastAsia="Times New Roman" w:hAnsi="Calibri" w:cs="Calibri"/>
                <w:b/>
                <w:bCs/>
                <w:color w:val="FF0000"/>
                <w:sz w:val="24"/>
                <w:szCs w:val="24"/>
                <w:lang w:eastAsia="it-IT"/>
              </w:rPr>
              <w:t>-</w:t>
            </w:r>
            <w:r w:rsidR="00D53832">
              <w:rPr>
                <w:rFonts w:ascii="Calibri" w:eastAsia="Times New Roman" w:hAnsi="Calibri" w:cs="Calibri"/>
                <w:b/>
                <w:bCs/>
                <w:color w:val="FF0000"/>
                <w:sz w:val="24"/>
                <w:szCs w:val="24"/>
                <w:lang w:eastAsia="it-IT"/>
              </w:rPr>
              <w:t>1,7</w:t>
            </w:r>
            <w:r w:rsidRPr="00CB3FA5">
              <w:rPr>
                <w:rFonts w:ascii="Calibri" w:eastAsia="Times New Roman" w:hAnsi="Calibri" w:cs="Calibri"/>
                <w:b/>
                <w:bCs/>
                <w:color w:val="FF0000"/>
                <w:sz w:val="24"/>
                <w:szCs w:val="24"/>
                <w:lang w:eastAsia="it-IT"/>
              </w:rPr>
              <w:t>%</w:t>
            </w:r>
          </w:p>
        </w:tc>
      </w:tr>
      <w:tr w:rsidR="00A54775" w:rsidRPr="00FC5A04" w14:paraId="38C1243B"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3C49193"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Città Studi - Indipendenza</w:t>
            </w:r>
          </w:p>
        </w:tc>
        <w:tc>
          <w:tcPr>
            <w:tcW w:w="1720" w:type="dxa"/>
            <w:tcBorders>
              <w:top w:val="nil"/>
              <w:left w:val="nil"/>
              <w:bottom w:val="single" w:sz="4" w:space="0" w:color="auto"/>
              <w:right w:val="single" w:sz="4" w:space="0" w:color="auto"/>
            </w:tcBorders>
            <w:shd w:val="clear" w:color="auto" w:fill="auto"/>
            <w:noWrap/>
            <w:vAlign w:val="bottom"/>
          </w:tcPr>
          <w:p w14:paraId="37119656" w14:textId="4200B611" w:rsidR="00A54775" w:rsidRPr="00FC5A04" w:rsidRDefault="00EE70E6" w:rsidP="00B014ED">
            <w:pPr>
              <w:spacing w:after="0" w:line="240" w:lineRule="auto"/>
              <w:jc w:val="center"/>
              <w:rPr>
                <w:rFonts w:ascii="Calibri" w:eastAsia="Times New Roman" w:hAnsi="Calibri" w:cs="Calibri"/>
                <w:b/>
                <w:bCs/>
                <w:sz w:val="24"/>
                <w:szCs w:val="24"/>
                <w:lang w:eastAsia="it-IT"/>
              </w:rPr>
            </w:pPr>
            <w:r>
              <w:rPr>
                <w:rFonts w:ascii="Calibri" w:eastAsia="Times New Roman" w:hAnsi="Calibri" w:cs="Calibri"/>
                <w:b/>
                <w:bCs/>
                <w:sz w:val="24"/>
                <w:szCs w:val="24"/>
                <w:lang w:eastAsia="it-IT"/>
              </w:rPr>
              <w:t>1,2%</w:t>
            </w:r>
          </w:p>
        </w:tc>
      </w:tr>
      <w:tr w:rsidR="00A54775" w:rsidRPr="00FC5A04" w14:paraId="287F3D2B"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497ADBE"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Lodi - Corsica</w:t>
            </w:r>
          </w:p>
        </w:tc>
        <w:tc>
          <w:tcPr>
            <w:tcW w:w="1720" w:type="dxa"/>
            <w:tcBorders>
              <w:top w:val="nil"/>
              <w:left w:val="nil"/>
              <w:bottom w:val="single" w:sz="4" w:space="0" w:color="auto"/>
              <w:right w:val="single" w:sz="4" w:space="0" w:color="auto"/>
            </w:tcBorders>
            <w:shd w:val="clear" w:color="auto" w:fill="auto"/>
            <w:noWrap/>
            <w:vAlign w:val="bottom"/>
          </w:tcPr>
          <w:p w14:paraId="29F148B6" w14:textId="1EEC7079" w:rsidR="00A54775" w:rsidRPr="00FC5A04" w:rsidRDefault="00EE70E6" w:rsidP="00B014ED">
            <w:pPr>
              <w:spacing w:after="0" w:line="240" w:lineRule="auto"/>
              <w:jc w:val="center"/>
              <w:rPr>
                <w:rFonts w:ascii="Calibri" w:eastAsia="Times New Roman" w:hAnsi="Calibri" w:cs="Calibri"/>
                <w:b/>
                <w:bCs/>
                <w:sz w:val="24"/>
                <w:szCs w:val="24"/>
                <w:lang w:eastAsia="it-IT"/>
              </w:rPr>
            </w:pPr>
            <w:r>
              <w:rPr>
                <w:rFonts w:ascii="Calibri" w:eastAsia="Times New Roman" w:hAnsi="Calibri" w:cs="Calibri"/>
                <w:b/>
                <w:bCs/>
                <w:sz w:val="24"/>
                <w:szCs w:val="24"/>
                <w:lang w:eastAsia="it-IT"/>
              </w:rPr>
              <w:t>1,2%</w:t>
            </w:r>
          </w:p>
        </w:tc>
      </w:tr>
      <w:tr w:rsidR="00CB3FA5" w:rsidRPr="00CB3FA5" w14:paraId="00E2EE31" w14:textId="77777777" w:rsidTr="008A105C">
        <w:trPr>
          <w:trHeight w:val="312"/>
          <w:jc w:val="center"/>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45A664D" w14:textId="77777777" w:rsidR="00A54775" w:rsidRPr="00FC5A04" w:rsidRDefault="00A54775" w:rsidP="00B014ED">
            <w:pPr>
              <w:spacing w:after="0" w:line="240" w:lineRule="auto"/>
              <w:rPr>
                <w:rFonts w:ascii="Calibri" w:eastAsia="Times New Roman" w:hAnsi="Calibri" w:cs="Calibri"/>
                <w:b/>
                <w:bCs/>
                <w:sz w:val="24"/>
                <w:szCs w:val="24"/>
                <w:lang w:eastAsia="it-IT"/>
              </w:rPr>
            </w:pPr>
            <w:r w:rsidRPr="00FC5A04">
              <w:rPr>
                <w:b/>
                <w:bCs/>
                <w:sz w:val="24"/>
                <w:szCs w:val="24"/>
                <w:lang w:eastAsia="it-IT"/>
              </w:rPr>
              <w:t>Navigli - Famagosta</w:t>
            </w:r>
          </w:p>
        </w:tc>
        <w:tc>
          <w:tcPr>
            <w:tcW w:w="1720" w:type="dxa"/>
            <w:tcBorders>
              <w:top w:val="nil"/>
              <w:left w:val="nil"/>
              <w:bottom w:val="single" w:sz="4" w:space="0" w:color="auto"/>
              <w:right w:val="single" w:sz="4" w:space="0" w:color="auto"/>
            </w:tcBorders>
            <w:shd w:val="clear" w:color="auto" w:fill="auto"/>
            <w:noWrap/>
            <w:vAlign w:val="bottom"/>
          </w:tcPr>
          <w:p w14:paraId="0B135CFC" w14:textId="4CEFFA3A" w:rsidR="00A54775" w:rsidRPr="00CB3FA5" w:rsidRDefault="00EE70E6" w:rsidP="00B014ED">
            <w:pPr>
              <w:spacing w:after="0" w:line="240" w:lineRule="auto"/>
              <w:jc w:val="center"/>
              <w:rPr>
                <w:rFonts w:ascii="Calibri" w:eastAsia="Times New Roman" w:hAnsi="Calibri" w:cs="Calibri"/>
                <w:b/>
                <w:bCs/>
                <w:color w:val="FF0000"/>
                <w:sz w:val="24"/>
                <w:szCs w:val="24"/>
                <w:lang w:eastAsia="it-IT"/>
              </w:rPr>
            </w:pPr>
            <w:r w:rsidRPr="00CB3FA5">
              <w:rPr>
                <w:rFonts w:ascii="Calibri" w:eastAsia="Times New Roman" w:hAnsi="Calibri" w:cs="Calibri"/>
                <w:b/>
                <w:bCs/>
                <w:color w:val="FF0000"/>
                <w:sz w:val="24"/>
                <w:szCs w:val="24"/>
                <w:lang w:eastAsia="it-IT"/>
              </w:rPr>
              <w:t>-2</w:t>
            </w:r>
            <w:r w:rsidR="00D53832">
              <w:rPr>
                <w:rFonts w:ascii="Calibri" w:eastAsia="Times New Roman" w:hAnsi="Calibri" w:cs="Calibri"/>
                <w:b/>
                <w:bCs/>
                <w:color w:val="FF0000"/>
                <w:sz w:val="24"/>
                <w:szCs w:val="24"/>
                <w:lang w:eastAsia="it-IT"/>
              </w:rPr>
              <w:t>,2</w:t>
            </w:r>
            <w:r w:rsidRPr="00CB3FA5">
              <w:rPr>
                <w:rFonts w:ascii="Calibri" w:eastAsia="Times New Roman" w:hAnsi="Calibri" w:cs="Calibri"/>
                <w:b/>
                <w:bCs/>
                <w:color w:val="FF0000"/>
                <w:sz w:val="24"/>
                <w:szCs w:val="24"/>
                <w:lang w:eastAsia="it-IT"/>
              </w:rPr>
              <w:t>%</w:t>
            </w:r>
          </w:p>
        </w:tc>
      </w:tr>
    </w:tbl>
    <w:p w14:paraId="05B371A4" w14:textId="77777777" w:rsidR="00543580" w:rsidRDefault="00543580" w:rsidP="00543580">
      <w:pPr>
        <w:spacing w:after="0" w:line="240" w:lineRule="auto"/>
        <w:jc w:val="both"/>
      </w:pPr>
    </w:p>
    <w:p w14:paraId="58F9F1A4" w14:textId="16027D9D" w:rsidR="00543580" w:rsidRPr="00CB3FA5" w:rsidRDefault="00543580" w:rsidP="00543580">
      <w:pPr>
        <w:spacing w:after="0" w:line="240" w:lineRule="auto"/>
        <w:jc w:val="both"/>
        <w:rPr>
          <w:b/>
          <w:color w:val="008000"/>
          <w:sz w:val="28"/>
          <w:szCs w:val="28"/>
          <w:u w:val="single"/>
        </w:rPr>
      </w:pPr>
      <w:r w:rsidRPr="00CB3FA5">
        <w:rPr>
          <w:b/>
          <w:color w:val="008000"/>
          <w:sz w:val="28"/>
          <w:szCs w:val="28"/>
          <w:u w:val="single"/>
        </w:rPr>
        <w:t>CENTRO</w:t>
      </w:r>
      <w:r w:rsidR="00EE70E6" w:rsidRPr="00CB3FA5">
        <w:rPr>
          <w:b/>
          <w:color w:val="008000"/>
          <w:sz w:val="28"/>
          <w:szCs w:val="28"/>
          <w:u w:val="single"/>
        </w:rPr>
        <w:t xml:space="preserve">. </w:t>
      </w:r>
      <w:r w:rsidR="00476CB2" w:rsidRPr="00CB3FA5">
        <w:rPr>
          <w:b/>
          <w:color w:val="008000"/>
          <w:sz w:val="28"/>
          <w:szCs w:val="28"/>
          <w:u w:val="single"/>
        </w:rPr>
        <w:t>Prestigio e prima casa alimentano il mercato</w:t>
      </w:r>
    </w:p>
    <w:p w14:paraId="20C5A065" w14:textId="156C3DCD" w:rsidR="00C718D6" w:rsidRDefault="00C718D6" w:rsidP="00543580">
      <w:pPr>
        <w:spacing w:after="0" w:line="240" w:lineRule="auto"/>
        <w:jc w:val="both"/>
      </w:pPr>
      <w:r w:rsidRPr="00543580">
        <w:t xml:space="preserve">Nel centro della città le zone di </w:t>
      </w:r>
      <w:r w:rsidRPr="00543580">
        <w:rPr>
          <w:b/>
          <w:bCs/>
        </w:rPr>
        <w:t>corso Genova-De Amicis</w:t>
      </w:r>
      <w:r w:rsidR="00F30010" w:rsidRPr="00543580">
        <w:rPr>
          <w:b/>
          <w:bCs/>
        </w:rPr>
        <w:t xml:space="preserve">, </w:t>
      </w:r>
      <w:r w:rsidRPr="00543580">
        <w:rPr>
          <w:b/>
          <w:bCs/>
        </w:rPr>
        <w:t>Savona e Tortona</w:t>
      </w:r>
      <w:r w:rsidRPr="00543580">
        <w:t>, dove era presente soprattutto una componente di acquisto ad uso investimento, i prezzi sono in diminuzione</w:t>
      </w:r>
      <w:r w:rsidR="00396F55" w:rsidRPr="00543580">
        <w:t xml:space="preserve">, i </w:t>
      </w:r>
      <w:r w:rsidRPr="00543580">
        <w:t>tempi di vendita in leggero aumento. Tengono gli acquisti di prima casa, in modo particolare il segmento del lusso. I valori più elevati</w:t>
      </w:r>
      <w:r w:rsidR="00396F55" w:rsidRPr="00543580">
        <w:t xml:space="preserve">, di 7000-8000 € al mq, </w:t>
      </w:r>
      <w:r w:rsidRPr="00543580">
        <w:t>si registrano per le soluzioni d’epoca ristrutturate signorili presenti in via De Amicis, Ariberto e Ausonio si toccano punte di 7000-8000 € al mq. Nelle restanti zone si va dai 5600 € al mq di una soluzione usato in corso Genova fino a 4100 € al mq in Tortona</w:t>
      </w:r>
      <w:r w:rsidR="00543580">
        <w:t>-</w:t>
      </w:r>
      <w:r w:rsidRPr="00543580">
        <w:t xml:space="preserve">Savona. Stabili i valori in </w:t>
      </w:r>
      <w:r w:rsidRPr="00543580">
        <w:rPr>
          <w:b/>
          <w:bCs/>
        </w:rPr>
        <w:t>Porta Romana</w:t>
      </w:r>
      <w:r w:rsidR="00543580">
        <w:rPr>
          <w:b/>
          <w:bCs/>
        </w:rPr>
        <w:t>-</w:t>
      </w:r>
      <w:r w:rsidRPr="00543580">
        <w:rPr>
          <w:b/>
          <w:bCs/>
        </w:rPr>
        <w:t>Crocetta</w:t>
      </w:r>
      <w:r w:rsidRPr="00543580">
        <w:t>. Il segmento alto del mercato residenziale non ha avuto importanti impatti e gli investitori, dopo un momento di incertezza, da ottobre si sono riaffacciati sul mercato spinti anche dal fatto che si sono segnalate</w:t>
      </w:r>
      <w:r>
        <w:t xml:space="preserve"> richieste di immobili in affitto da parte di lavoratori fuori sede. </w:t>
      </w:r>
      <w:r w:rsidR="0023241E">
        <w:t>Sempre molto attivi g</w:t>
      </w:r>
      <w:r>
        <w:t xml:space="preserve">li </w:t>
      </w:r>
      <w:r w:rsidR="00396F55">
        <w:t>imprenditori</w:t>
      </w:r>
      <w:r>
        <w:t xml:space="preserve"> che acquistano per ristrutturare e poi rivendere. Sul prestigio resta la preferenza per le ampie metrature, spazi esterni ora tassativi</w:t>
      </w:r>
      <w:r w:rsidR="00396F55">
        <w:t>; l</w:t>
      </w:r>
      <w:r>
        <w:t xml:space="preserve">e aree più richieste sono quelle di via </w:t>
      </w:r>
      <w:proofErr w:type="spellStart"/>
      <w:r>
        <w:t>Quadronno</w:t>
      </w:r>
      <w:proofErr w:type="spellEnd"/>
      <w:r>
        <w:t xml:space="preserve">, piazza Mondadori e limitrofe dove ci sono soluzioni di pregio che possono arrivare a 9000 € al mq se in ottime condizioni e con spazi esterni o begli affacci. Punte di </w:t>
      </w:r>
      <w:proofErr w:type="gramStart"/>
      <w:r>
        <w:t>10</w:t>
      </w:r>
      <w:proofErr w:type="gramEnd"/>
      <w:r>
        <w:t xml:space="preserve"> mila € al mq sono toccate solo dalle soluzioni di pregio di nuova costruzione. A muoversi sul prestigio sono famiglie già residenti alla ricerca della casa migliorativa. </w:t>
      </w:r>
    </w:p>
    <w:p w14:paraId="748B9CE3" w14:textId="77777777" w:rsidR="00476CB2" w:rsidRDefault="00476CB2" w:rsidP="00543580">
      <w:pPr>
        <w:spacing w:after="0" w:line="240" w:lineRule="auto"/>
        <w:jc w:val="both"/>
      </w:pPr>
    </w:p>
    <w:p w14:paraId="389A0F6E" w14:textId="11CF203C" w:rsidR="00476CB2" w:rsidRPr="00CB3FA5" w:rsidRDefault="00476CB2" w:rsidP="00476CB2">
      <w:pPr>
        <w:spacing w:after="0" w:line="240" w:lineRule="auto"/>
        <w:jc w:val="both"/>
        <w:rPr>
          <w:b/>
          <w:color w:val="008000"/>
          <w:sz w:val="28"/>
          <w:szCs w:val="28"/>
          <w:u w:val="single"/>
        </w:rPr>
      </w:pPr>
      <w:r w:rsidRPr="00CB3FA5">
        <w:rPr>
          <w:b/>
          <w:color w:val="008000"/>
          <w:sz w:val="28"/>
          <w:szCs w:val="28"/>
          <w:u w:val="single"/>
        </w:rPr>
        <w:t>VERCELLI-LORENTEGGIO. Positivi effetti dell’arrivo della metropolitana</w:t>
      </w:r>
    </w:p>
    <w:p w14:paraId="094ECE0C" w14:textId="52142AC7" w:rsidR="00476CB2" w:rsidRDefault="00476CB2" w:rsidP="00476CB2">
      <w:pPr>
        <w:spacing w:after="0" w:line="240" w:lineRule="auto"/>
        <w:jc w:val="both"/>
      </w:pPr>
      <w:r>
        <w:t xml:space="preserve">Aumento dello 0,9% dei prezzi per la macroarea di </w:t>
      </w:r>
      <w:r w:rsidRPr="00027D7D">
        <w:rPr>
          <w:b/>
          <w:bCs/>
        </w:rPr>
        <w:t>Vercelli</w:t>
      </w:r>
      <w:r>
        <w:rPr>
          <w:b/>
          <w:bCs/>
        </w:rPr>
        <w:t>-</w:t>
      </w:r>
      <w:r w:rsidRPr="00027D7D">
        <w:rPr>
          <w:b/>
          <w:bCs/>
        </w:rPr>
        <w:t>Lorenteggio</w:t>
      </w:r>
      <w:r>
        <w:t xml:space="preserve"> dove si segnala un buon andamento delle aree interessate dai lavori della metropolitana 4 (Solari-Foppa, Lorenteggio-Frattini) a cui si aggiunge la zona di Gambara dove la domanda è aumentata da settembre fino alla fine dell’anno per poi rallentare a partire da</w:t>
      </w:r>
      <w:r w:rsidR="000A4FDC">
        <w:t xml:space="preserve"> </w:t>
      </w:r>
      <w:proofErr w:type="gramStart"/>
      <w:r>
        <w:t>Gennaio</w:t>
      </w:r>
      <w:proofErr w:type="gramEnd"/>
      <w:r>
        <w:t xml:space="preserve">. Sono aumentati in particolare i prezzi delle soluzioni che hanno spazi esterni, molto ricercate ma di cui c’è bassa offerta. In questo momento si sta muovendo chi desidera migliorare e in parte investitori che vogliono acquistare immobili da ristrutturare e poi rivendere.  I prezzi vanno da 4000 € al mq fino a 5500 € al mq per le soluzioni top in zona Gambara. Valori più bassi in Bande Nere, 4000 € al mq. </w:t>
      </w:r>
    </w:p>
    <w:p w14:paraId="2F436918" w14:textId="77777777" w:rsidR="00476CB2" w:rsidRDefault="00476CB2" w:rsidP="00476CB2">
      <w:pPr>
        <w:spacing w:after="0" w:line="240" w:lineRule="auto"/>
        <w:jc w:val="both"/>
      </w:pPr>
      <w:r>
        <w:t xml:space="preserve">  </w:t>
      </w:r>
    </w:p>
    <w:p w14:paraId="211A38A0" w14:textId="3E69BE54" w:rsidR="00476CB2" w:rsidRPr="00CB3FA5" w:rsidRDefault="00476CB2" w:rsidP="00476CB2">
      <w:pPr>
        <w:spacing w:after="0" w:line="240" w:lineRule="auto"/>
        <w:jc w:val="both"/>
        <w:rPr>
          <w:b/>
          <w:color w:val="008000"/>
          <w:sz w:val="28"/>
          <w:szCs w:val="28"/>
          <w:u w:val="single"/>
        </w:rPr>
      </w:pPr>
      <w:r w:rsidRPr="00CB3FA5">
        <w:rPr>
          <w:b/>
          <w:color w:val="008000"/>
          <w:sz w:val="28"/>
          <w:szCs w:val="28"/>
          <w:u w:val="single"/>
        </w:rPr>
        <w:t>BOVISA-SEMPIONE/FIERA-SAN SIRO</w:t>
      </w:r>
      <w:r w:rsidR="00A6710F" w:rsidRPr="00CB3FA5">
        <w:rPr>
          <w:b/>
          <w:color w:val="008000"/>
          <w:sz w:val="28"/>
          <w:szCs w:val="28"/>
          <w:u w:val="single"/>
        </w:rPr>
        <w:t>. Le riqualificazioni danno linfa al mattone</w:t>
      </w:r>
    </w:p>
    <w:p w14:paraId="69CDE6AB" w14:textId="411EA557" w:rsidR="00CB4C31" w:rsidRDefault="00CB4C31" w:rsidP="00543580">
      <w:pPr>
        <w:spacing w:after="0" w:line="240" w:lineRule="auto"/>
        <w:jc w:val="both"/>
      </w:pPr>
      <w:r>
        <w:t xml:space="preserve">Buona la performance per le macroaree di </w:t>
      </w:r>
      <w:r w:rsidRPr="00CB4C31">
        <w:rPr>
          <w:b/>
          <w:bCs/>
        </w:rPr>
        <w:t>Bovisa</w:t>
      </w:r>
      <w:r w:rsidR="00A6710F">
        <w:rPr>
          <w:b/>
          <w:bCs/>
        </w:rPr>
        <w:t>-</w:t>
      </w:r>
      <w:r w:rsidRPr="00CB4C31">
        <w:rPr>
          <w:b/>
          <w:bCs/>
        </w:rPr>
        <w:t>Sempione e Fiera</w:t>
      </w:r>
      <w:r w:rsidR="00A6710F">
        <w:rPr>
          <w:b/>
          <w:bCs/>
        </w:rPr>
        <w:t>-</w:t>
      </w:r>
      <w:r w:rsidRPr="00CB4C31">
        <w:rPr>
          <w:b/>
          <w:bCs/>
        </w:rPr>
        <w:t>San Siro</w:t>
      </w:r>
      <w:r>
        <w:t xml:space="preserve"> (+3,6%) dove si continuano ad avvertire gli effetti delle future riqualificazioni dello Scalo Farini e dell’area intorno allo Stadio.  Al di là dei progetti futuri San Siro e QT8 hanno ben performato anche per i prezzi più contenuti e per la presenza di soluzioni indipendenti. A Q</w:t>
      </w:r>
      <w:r w:rsidR="00396F55">
        <w:t>T</w:t>
      </w:r>
      <w:r>
        <w:t>8 un buono stato viaggia intorno a 4000 € al mq. San Siro</w:t>
      </w:r>
      <w:r w:rsidR="00396F55">
        <w:t>,</w:t>
      </w:r>
      <w:r>
        <w:t xml:space="preserve"> inoltre</w:t>
      </w:r>
      <w:r w:rsidR="00396F55">
        <w:t>,</w:t>
      </w:r>
      <w:r>
        <w:t xml:space="preserve"> ha visto un crescente apprezzamento negli anni dopo l’arrivo della metropolitana. </w:t>
      </w:r>
      <w:r w:rsidRPr="00EA6E06">
        <w:t xml:space="preserve">Piacciono le case posizionate in piazzale Brescia e piazzale Lotto che, in buono stato, arrivano a 3000-4000 € al mq. Immobili signorili sono acquistabili nell’area intorno allo stadio di San Siro (via Tesio, via Patroclo, via Harar). </w:t>
      </w:r>
      <w:r>
        <w:t xml:space="preserve">Anche qui i valori arrivano intorno a 4000 € al mq.  Bene anche </w:t>
      </w:r>
      <w:r w:rsidRPr="00EA6E06">
        <w:t xml:space="preserve">via Rembrandt per la vicinanza alla </w:t>
      </w:r>
      <w:r w:rsidR="00396F55">
        <w:t xml:space="preserve">fermata della </w:t>
      </w:r>
      <w:r w:rsidRPr="00EA6E06">
        <w:t>metro</w:t>
      </w:r>
      <w:r w:rsidR="00396F55">
        <w:t>politana</w:t>
      </w:r>
      <w:r w:rsidRPr="00EA6E06">
        <w:t xml:space="preserve"> </w:t>
      </w:r>
      <w:r w:rsidR="00396F55">
        <w:t>“</w:t>
      </w:r>
      <w:r w:rsidRPr="00EA6E06">
        <w:t>De Angeli</w:t>
      </w:r>
      <w:r w:rsidR="00396F55">
        <w:t>”</w:t>
      </w:r>
      <w:r w:rsidRPr="00EA6E06">
        <w:t xml:space="preserve"> e alla zona omonima. Una tipologia in buono stato si valuta intorno a 3200 € al mq.</w:t>
      </w:r>
      <w:r>
        <w:t xml:space="preserve"> In lieve incremento i valori in </w:t>
      </w:r>
      <w:r w:rsidRPr="00A6710F">
        <w:rPr>
          <w:b/>
          <w:bCs/>
        </w:rPr>
        <w:t>San Siro</w:t>
      </w:r>
      <w:r w:rsidR="00396F55" w:rsidRPr="00A6710F">
        <w:rPr>
          <w:b/>
          <w:bCs/>
        </w:rPr>
        <w:t>-</w:t>
      </w:r>
      <w:r w:rsidRPr="00A6710F">
        <w:rPr>
          <w:b/>
          <w:bCs/>
        </w:rPr>
        <w:t>Capecelatr</w:t>
      </w:r>
      <w:r w:rsidR="003E0E7D" w:rsidRPr="00A6710F">
        <w:rPr>
          <w:b/>
          <w:bCs/>
        </w:rPr>
        <w:t>o</w:t>
      </w:r>
      <w:r w:rsidR="003E0E7D">
        <w:rPr>
          <w:b/>
          <w:bCs/>
        </w:rPr>
        <w:t xml:space="preserve"> </w:t>
      </w:r>
      <w:r w:rsidR="003E0E7D" w:rsidRPr="003E0E7D">
        <w:t xml:space="preserve">grazie a </w:t>
      </w:r>
      <w:r w:rsidRPr="003E0E7D">
        <w:t xml:space="preserve">famiglie che hanno sempre vissuto nella zona e che </w:t>
      </w:r>
      <w:r w:rsidRPr="003E0E7D">
        <w:lastRenderedPageBreak/>
        <w:t xml:space="preserve">decidono di cambiare abitazione. </w:t>
      </w:r>
      <w:r w:rsidR="003E0E7D">
        <w:t xml:space="preserve"> Offerta più</w:t>
      </w:r>
      <w:r>
        <w:t xml:space="preserve"> signorile </w:t>
      </w:r>
      <w:r w:rsidR="003E0E7D">
        <w:t>tra</w:t>
      </w:r>
      <w:r>
        <w:t xml:space="preserve"> via Ottoboni, via Odescalchi e</w:t>
      </w:r>
      <w:r w:rsidR="003E0E7D">
        <w:t xml:space="preserve"> </w:t>
      </w:r>
      <w:r>
        <w:t xml:space="preserve">via Don Gnocchi dove sorgono condomini costruiti dagli anni ’50 alla fine degli anni ’70. Le quotazioni di un buon usato non superano i 3000 € al mq. </w:t>
      </w:r>
    </w:p>
    <w:p w14:paraId="1C30215D" w14:textId="70136C4D" w:rsidR="00F40CBA" w:rsidRDefault="00F40CBA" w:rsidP="00543580">
      <w:pPr>
        <w:spacing w:after="0" w:line="240" w:lineRule="auto"/>
        <w:jc w:val="both"/>
      </w:pPr>
      <w:r>
        <w:t xml:space="preserve">A </w:t>
      </w:r>
      <w:r w:rsidRPr="00396F55">
        <w:rPr>
          <w:b/>
          <w:bCs/>
        </w:rPr>
        <w:t>Bovisa</w:t>
      </w:r>
      <w:r w:rsidR="00A6710F">
        <w:rPr>
          <w:b/>
          <w:bCs/>
        </w:rPr>
        <w:t>-</w:t>
      </w:r>
      <w:r w:rsidRPr="00396F55">
        <w:rPr>
          <w:b/>
          <w:bCs/>
        </w:rPr>
        <w:t>Sempione</w:t>
      </w:r>
      <w:r>
        <w:t xml:space="preserve"> sono le zone periferiche a trainare:</w:t>
      </w:r>
      <w:r w:rsidR="00552F0C">
        <w:t xml:space="preserve"> </w:t>
      </w:r>
      <w:r w:rsidRPr="00A6710F">
        <w:rPr>
          <w:b/>
          <w:bCs/>
        </w:rPr>
        <w:t>Amoretti</w:t>
      </w:r>
      <w:r w:rsidR="00A6710F" w:rsidRPr="00A6710F">
        <w:rPr>
          <w:b/>
          <w:bCs/>
        </w:rPr>
        <w:t>-</w:t>
      </w:r>
      <w:r w:rsidRPr="00A6710F">
        <w:rPr>
          <w:b/>
          <w:bCs/>
        </w:rPr>
        <w:t>Quarto</w:t>
      </w:r>
      <w:r w:rsidR="00A6710F">
        <w:rPr>
          <w:b/>
          <w:bCs/>
        </w:rPr>
        <w:t xml:space="preserve"> </w:t>
      </w:r>
      <w:r w:rsidRPr="00A6710F">
        <w:rPr>
          <w:b/>
          <w:bCs/>
        </w:rPr>
        <w:t>Oggiaro</w:t>
      </w:r>
      <w:r>
        <w:t xml:space="preserve"> dove residenti nel quartiere o nei limitrofi, come Comasina, Varesina, </w:t>
      </w:r>
      <w:proofErr w:type="spellStart"/>
      <w:r>
        <w:t>Espinasse</w:t>
      </w:r>
      <w:proofErr w:type="spellEnd"/>
      <w:r>
        <w:t xml:space="preserve"> ed Affori hanno fatto acquisti migliorativi grazie ai valori contenuti. Si registra un ritorno all’acquisto da parte di immigrati, complici i </w:t>
      </w:r>
      <w:r w:rsidR="00396F55">
        <w:t>mutui convenienti</w:t>
      </w:r>
      <w:r>
        <w:t xml:space="preserve">. </w:t>
      </w:r>
      <w:r w:rsidR="00396F55">
        <w:t>I</w:t>
      </w:r>
      <w:r>
        <w:t xml:space="preserve"> valori medi si aggirano intorno a 1500 € al mq se l’immobile è da ristrutturare, 1800 € al mq per i contesti economici e 2500-3000 € al mq per le costruzioni più recenti.  Discorso simile </w:t>
      </w:r>
      <w:r w:rsidRPr="00A6710F">
        <w:t>per</w:t>
      </w:r>
      <w:r>
        <w:rPr>
          <w:b/>
          <w:bCs/>
        </w:rPr>
        <w:t xml:space="preserve"> </w:t>
      </w:r>
      <w:r w:rsidRPr="00F40CBA">
        <w:rPr>
          <w:b/>
          <w:bCs/>
        </w:rPr>
        <w:t>Dergano</w:t>
      </w:r>
      <w:r>
        <w:rPr>
          <w:b/>
          <w:bCs/>
        </w:rPr>
        <w:t xml:space="preserve">: </w:t>
      </w:r>
      <w:r>
        <w:t xml:space="preserve">domanda in forte crescita e offerta in diminuzione. Ad acquistare famiglie del posto alla ricerca di trilocali, ma molto bene le vendite di monolocali e bilocali desiderati sia da giovani al primo acquisto sia da investitori che qui trovano un buon mercato delle locazioni. Attualmente è fermo il segmento degli studenti ma tiene quello dei lavoratori fuori sede che apprezzano la presenza della metropolitana (ad Affori e Dergano sono presenti dei centri direzionali) e di tre parchi, tra cui Parco Nord. Piace anche il fatto che il quartiere sia servito.  Un buon usato si scambia a 2500 € al mq ma si può arrivare a 2600 € al mq su via Imbonati e 3000 € al mq in piazza Dergano. Tra i progetti che interessano il quartiere c’è il restyling delle piazze. Si segnalano diverse operazioni di cambio di destinazione d’uso di vecchi box in abitazione.  </w:t>
      </w:r>
    </w:p>
    <w:p w14:paraId="56FA9B80" w14:textId="3996A0D6" w:rsidR="00D44BCB" w:rsidRDefault="00F40CBA" w:rsidP="00543580">
      <w:pPr>
        <w:spacing w:after="0" w:line="240" w:lineRule="auto"/>
        <w:jc w:val="both"/>
      </w:pPr>
      <w:r>
        <w:t xml:space="preserve">Continuano a crescere i valori immobiliari </w:t>
      </w:r>
      <w:r w:rsidR="00F30010" w:rsidRPr="00552F0C">
        <w:t>in</w:t>
      </w:r>
      <w:r w:rsidRPr="00552F0C">
        <w:t xml:space="preserve"> </w:t>
      </w:r>
      <w:r w:rsidRPr="00552F0C">
        <w:rPr>
          <w:b/>
          <w:bCs/>
        </w:rPr>
        <w:t>Prealpi</w:t>
      </w:r>
      <w:r w:rsidR="00552F0C">
        <w:rPr>
          <w:b/>
          <w:bCs/>
        </w:rPr>
        <w:t>-</w:t>
      </w:r>
      <w:r w:rsidRPr="00552F0C">
        <w:rPr>
          <w:b/>
          <w:bCs/>
        </w:rPr>
        <w:t>Mac</w:t>
      </w:r>
      <w:r w:rsidR="00552F0C">
        <w:rPr>
          <w:b/>
          <w:bCs/>
        </w:rPr>
        <w:t>-</w:t>
      </w:r>
      <w:r w:rsidRPr="00552F0C">
        <w:rPr>
          <w:b/>
          <w:bCs/>
        </w:rPr>
        <w:t>Mahon:</w:t>
      </w:r>
      <w:r w:rsidR="00396F55" w:rsidRPr="00552F0C">
        <w:rPr>
          <w:b/>
          <w:bCs/>
        </w:rPr>
        <w:t xml:space="preserve"> </w:t>
      </w:r>
      <w:r w:rsidR="00396F55">
        <w:rPr>
          <w:b/>
          <w:bCs/>
        </w:rPr>
        <w:t>attira richieste</w:t>
      </w:r>
      <w:r>
        <w:rPr>
          <w:b/>
          <w:bCs/>
        </w:rPr>
        <w:t xml:space="preserve"> perché i quartieri limitrofi vedono un aumento dei valori. </w:t>
      </w:r>
      <w:r>
        <w:t>Si tratta prevalentemente di giovani al primo acquisto che si finanziano con mutuo e di acquisti migliorativi. La zona vanta anche buoni collegamenti con piazza Firenze e Portello. Qui un buon usato costa intorno a 3000 € al mq. Si segnalano casi di investitori che comprano, ristrutturano e rivendono. Il nuovo si scambi</w:t>
      </w:r>
      <w:r w:rsidR="00396F55">
        <w:t>a</w:t>
      </w:r>
      <w:r>
        <w:t xml:space="preserve"> a prezzi medi di 3700-3800 € al mq. Non lontano crescono i prezzi a </w:t>
      </w:r>
      <w:r w:rsidRPr="00396F55">
        <w:rPr>
          <w:b/>
          <w:bCs/>
          <w:i/>
          <w:iCs/>
        </w:rPr>
        <w:t>Monteceneri</w:t>
      </w:r>
      <w:r w:rsidRPr="00964A35">
        <w:rPr>
          <w:b/>
          <w:bCs/>
        </w:rPr>
        <w:t xml:space="preserve"> </w:t>
      </w:r>
      <w:r>
        <w:t>che</w:t>
      </w:r>
      <w:r w:rsidR="00396F55">
        <w:t>,</w:t>
      </w:r>
      <w:r>
        <w:t xml:space="preserve"> oltre agli effetti postivi dell’arrivo della linea 5 della metropolitana anni fa</w:t>
      </w:r>
      <w:r w:rsidR="00396F55">
        <w:t xml:space="preserve">, </w:t>
      </w:r>
      <w:r>
        <w:t xml:space="preserve">vede ora crescere le attese per la riqualificazione dello </w:t>
      </w:r>
      <w:r w:rsidR="00396F55">
        <w:t>“</w:t>
      </w:r>
      <w:r>
        <w:t>Scalo Farini</w:t>
      </w:r>
      <w:r w:rsidR="00396F55">
        <w:t>”</w:t>
      </w:r>
      <w:r>
        <w:t xml:space="preserve"> e per il futuro arrivo del consolato americano in piazzale Accursio. Le quotazioni più elevate si raggiungono per la parte più vicina a piazza Firenze: 3100 € al mq. Verso piazzale Accursio le quotazioni scendono e si portano intorno a 2600 € al mq. </w:t>
      </w:r>
      <w:r w:rsidR="00396F55">
        <w:t>L</w:t>
      </w:r>
      <w:r>
        <w:t>a riqualificazione dell</w:t>
      </w:r>
      <w:r w:rsidR="00396F55">
        <w:t>o</w:t>
      </w:r>
      <w:r>
        <w:t xml:space="preserve"> </w:t>
      </w:r>
      <w:r w:rsidR="00396F55">
        <w:t>“</w:t>
      </w:r>
      <w:r>
        <w:t>Scalo Farini</w:t>
      </w:r>
      <w:r w:rsidR="00396F55">
        <w:t>”</w:t>
      </w:r>
      <w:r>
        <w:t xml:space="preserve"> si fa sentire su</w:t>
      </w:r>
      <w:r w:rsidR="00396F55">
        <w:t xml:space="preserve">l </w:t>
      </w:r>
      <w:r w:rsidR="00396F55" w:rsidRPr="00396F55">
        <w:rPr>
          <w:b/>
          <w:bCs/>
          <w:i/>
          <w:iCs/>
        </w:rPr>
        <w:t xml:space="preserve">quartiere </w:t>
      </w:r>
      <w:r w:rsidRPr="00396F55">
        <w:rPr>
          <w:b/>
          <w:bCs/>
          <w:i/>
          <w:iCs/>
        </w:rPr>
        <w:t>Bovisa</w:t>
      </w:r>
      <w:r>
        <w:t xml:space="preserve"> che continua ad attirare investitori</w:t>
      </w:r>
      <w:r w:rsidR="00396F55">
        <w:t xml:space="preserve"> anche se quest’anno, causa diminuzione di presenze studentesche, </w:t>
      </w:r>
      <w:r>
        <w:t xml:space="preserve">sono stati </w:t>
      </w:r>
      <w:r w:rsidR="00396F55">
        <w:t>meno presenti.</w:t>
      </w:r>
      <w:r>
        <w:t xml:space="preserve"> Si cercano soprattutto bilocali con cucina abitabile o trilocali e per questo piacciono le soluzioni in via Maffucci, via Ugoni, via Scalvini dove ci sono abitazioni costruite nei primi anni del 1900 e che si scambiano a prezzi medi di 2000-2200 € al mq. </w:t>
      </w:r>
      <w:r w:rsidR="00D44BCB">
        <w:t>Lieve aumento</w:t>
      </w:r>
      <w:r w:rsidR="008D3F04">
        <w:t xml:space="preserve"> di </w:t>
      </w:r>
      <w:r w:rsidR="008D3F04" w:rsidRPr="00552F0C">
        <w:t xml:space="preserve">valori </w:t>
      </w:r>
      <w:r w:rsidR="00D44BCB" w:rsidRPr="00552F0C">
        <w:t>anche in</w:t>
      </w:r>
      <w:r w:rsidR="00D44BCB" w:rsidRPr="008D3F04">
        <w:rPr>
          <w:b/>
          <w:bCs/>
          <w:i/>
          <w:iCs/>
        </w:rPr>
        <w:t xml:space="preserve"> Maciachini</w:t>
      </w:r>
      <w:r w:rsidR="00D44BCB">
        <w:rPr>
          <w:b/>
          <w:bCs/>
        </w:rPr>
        <w:t xml:space="preserve"> </w:t>
      </w:r>
      <w:r w:rsidR="008D3F04">
        <w:t>dove</w:t>
      </w:r>
      <w:r w:rsidR="00D44BCB" w:rsidRPr="008D3F04">
        <w:t xml:space="preserve"> un buono stato</w:t>
      </w:r>
      <w:r w:rsidR="00D44BCB">
        <w:rPr>
          <w:b/>
          <w:bCs/>
        </w:rPr>
        <w:t xml:space="preserve"> quota 3000 € al mq. </w:t>
      </w:r>
      <w:r>
        <w:t xml:space="preserve">Vanno avanti i lavori per la </w:t>
      </w:r>
      <w:r w:rsidR="008D3F04">
        <w:t>“</w:t>
      </w:r>
      <w:r>
        <w:t>Goccia</w:t>
      </w:r>
      <w:r w:rsidR="008D3F04">
        <w:t>”</w:t>
      </w:r>
      <w:r>
        <w:t xml:space="preserve"> e per la riqualificazione del Palazzo delle Poste. Sono previsti anche due importati progetti di </w:t>
      </w:r>
      <w:proofErr w:type="spellStart"/>
      <w:r w:rsidR="008D3F04">
        <w:t>S</w:t>
      </w:r>
      <w:r>
        <w:t>tudent</w:t>
      </w:r>
      <w:proofErr w:type="spellEnd"/>
      <w:r>
        <w:t xml:space="preserve"> </w:t>
      </w:r>
      <w:r w:rsidR="008D3F04">
        <w:t>H</w:t>
      </w:r>
      <w:r>
        <w:t>ousing a Villapizzone e alla stazione Bovisa.  In spolvero anche</w:t>
      </w:r>
      <w:r w:rsidR="008D3F04">
        <w:t xml:space="preserve"> il </w:t>
      </w:r>
      <w:r w:rsidR="008D3F04" w:rsidRPr="001C709B">
        <w:rPr>
          <w:b/>
          <w:bCs/>
          <w:i/>
          <w:iCs/>
        </w:rPr>
        <w:t xml:space="preserve">quartiere della </w:t>
      </w:r>
      <w:r w:rsidRPr="001C709B">
        <w:rPr>
          <w:b/>
          <w:bCs/>
          <w:i/>
          <w:iCs/>
        </w:rPr>
        <w:t>Comasina</w:t>
      </w:r>
      <w:r w:rsidRPr="001C709B">
        <w:t xml:space="preserve"> dove sono stati riscattati ex immobili popolari e che attira chi ha una bassa disponibilità di spesa ma </w:t>
      </w:r>
      <w:r w:rsidR="00D44BCB" w:rsidRPr="001C709B">
        <w:t xml:space="preserve">desidera usufruire della </w:t>
      </w:r>
      <w:r w:rsidRPr="001C709B">
        <w:t xml:space="preserve">metropolitana. </w:t>
      </w:r>
      <w:r w:rsidR="00D44BCB" w:rsidRPr="001C709B">
        <w:t>Continua il buon andamento di tutta l’area a ridosso di City Life</w:t>
      </w:r>
      <w:r w:rsidR="008D3F04" w:rsidRPr="001C709B">
        <w:t xml:space="preserve"> (Piazza Firenze,</w:t>
      </w:r>
      <w:r w:rsidR="001C709B" w:rsidRPr="001C709B">
        <w:t xml:space="preserve"> Fiera</w:t>
      </w:r>
      <w:r w:rsidR="00552F0C">
        <w:t>-</w:t>
      </w:r>
      <w:r w:rsidR="001C709B" w:rsidRPr="001C709B">
        <w:t>Monte Rosa)</w:t>
      </w:r>
      <w:r w:rsidR="008D3F04" w:rsidRPr="001C709B">
        <w:t xml:space="preserve"> </w:t>
      </w:r>
      <w:r w:rsidR="00D44BCB" w:rsidRPr="001C709B">
        <w:t>e di Paolo Sarpi.</w:t>
      </w:r>
      <w:r w:rsidR="00D44BCB">
        <w:t xml:space="preserve">  </w:t>
      </w:r>
    </w:p>
    <w:p w14:paraId="362A2F51" w14:textId="0B661789" w:rsidR="00476CB2" w:rsidRDefault="00476CB2" w:rsidP="00543580">
      <w:pPr>
        <w:spacing w:after="0" w:line="240" w:lineRule="auto"/>
        <w:jc w:val="both"/>
      </w:pPr>
    </w:p>
    <w:p w14:paraId="6263A5A8" w14:textId="77777777" w:rsidR="00476CB2" w:rsidRPr="00CB3FA5" w:rsidRDefault="00476CB2" w:rsidP="00476CB2">
      <w:pPr>
        <w:spacing w:after="0" w:line="240" w:lineRule="auto"/>
        <w:jc w:val="both"/>
        <w:rPr>
          <w:b/>
          <w:color w:val="008000"/>
          <w:sz w:val="28"/>
          <w:szCs w:val="28"/>
          <w:u w:val="single"/>
        </w:rPr>
      </w:pPr>
      <w:r w:rsidRPr="00CB3FA5">
        <w:rPr>
          <w:b/>
          <w:color w:val="008000"/>
          <w:sz w:val="28"/>
          <w:szCs w:val="28"/>
          <w:u w:val="single"/>
        </w:rPr>
        <w:t xml:space="preserve">STAZIONE CENTRALE-GIOIA-FULVIO TESTI. In arrivo nuovi interventi </w:t>
      </w:r>
      <w:r w:rsidRPr="00464AA0">
        <w:rPr>
          <w:b/>
          <w:color w:val="008000"/>
          <w:sz w:val="28"/>
          <w:szCs w:val="28"/>
          <w:u w:val="single"/>
        </w:rPr>
        <w:t>edilizi</w:t>
      </w:r>
    </w:p>
    <w:p w14:paraId="36BEA444" w14:textId="1E9E652E" w:rsidR="00552F0C" w:rsidRDefault="00476CB2" w:rsidP="00476CB2">
      <w:pPr>
        <w:spacing w:after="0" w:line="240" w:lineRule="auto"/>
        <w:jc w:val="both"/>
      </w:pPr>
      <w:r>
        <w:t xml:space="preserve">Prezzi in ribasso nella macroarea di </w:t>
      </w:r>
      <w:r w:rsidRPr="002E18EE">
        <w:rPr>
          <w:b/>
          <w:bCs/>
        </w:rPr>
        <w:t>Stazione Centrale</w:t>
      </w:r>
      <w:r>
        <w:rPr>
          <w:b/>
          <w:bCs/>
        </w:rPr>
        <w:t>-</w:t>
      </w:r>
      <w:r w:rsidRPr="002E18EE">
        <w:rPr>
          <w:b/>
          <w:bCs/>
        </w:rPr>
        <w:t>Gioia</w:t>
      </w:r>
      <w:r>
        <w:rPr>
          <w:b/>
          <w:bCs/>
        </w:rPr>
        <w:t>-</w:t>
      </w:r>
      <w:r w:rsidRPr="002E18EE">
        <w:rPr>
          <w:b/>
          <w:bCs/>
        </w:rPr>
        <w:t>Fulvio</w:t>
      </w:r>
      <w:r>
        <w:rPr>
          <w:b/>
          <w:bCs/>
        </w:rPr>
        <w:t xml:space="preserve"> </w:t>
      </w:r>
      <w:r w:rsidRPr="002E18EE">
        <w:rPr>
          <w:b/>
          <w:bCs/>
        </w:rPr>
        <w:t>Testi</w:t>
      </w:r>
      <w:r>
        <w:rPr>
          <w:b/>
          <w:bCs/>
        </w:rPr>
        <w:t xml:space="preserve"> (-1,7%). </w:t>
      </w:r>
      <w:r>
        <w:t xml:space="preserve">Il venire meno degli investitori si è sentito in modo importante nella </w:t>
      </w:r>
      <w:r w:rsidRPr="00543580">
        <w:t>zona intorno alla Stazione Centrale, via Pirelli</w:t>
      </w:r>
      <w:r>
        <w:t xml:space="preserve">, Fabio Filzi, via Settembrini. </w:t>
      </w:r>
      <w:proofErr w:type="gramStart"/>
      <w:r>
        <w:t>E’</w:t>
      </w:r>
      <w:proofErr w:type="gramEnd"/>
      <w:r>
        <w:t xml:space="preserve"> un’area della città che, negli ultimi anni, ha visto un’importante presenza di acquisti con finalità turistica. Ora si muovono soprattutto gli acquisti di prima casa. </w:t>
      </w:r>
      <w:r w:rsidRPr="001109B2">
        <w:t xml:space="preserve"> </w:t>
      </w:r>
      <w:r>
        <w:t xml:space="preserve">Gli stabili vanno dai primi anni del 1900 fino agli anni ’60 e in buono stato hanno quotazioni medie di 5000 € al mq per scendere sotto i 3000 € al mq oltre via Galvani. Tiene il segmento signorile in via Vittor Pisani, 6000-7000 € al mq. Tra via Melchiorre Gioia a via Fara ci sono numerosi interventi che cambieranno il volto della zona.  </w:t>
      </w:r>
      <w:r>
        <w:tab/>
      </w:r>
      <w:r>
        <w:tab/>
      </w:r>
    </w:p>
    <w:p w14:paraId="3D9C48E3" w14:textId="77777777" w:rsidR="00464AA0" w:rsidRDefault="00464AA0" w:rsidP="00476CB2">
      <w:pPr>
        <w:spacing w:after="0" w:line="240" w:lineRule="auto"/>
        <w:jc w:val="both"/>
      </w:pPr>
    </w:p>
    <w:p w14:paraId="330ECC43" w14:textId="62CC0361" w:rsidR="00552F0C" w:rsidRPr="00CB3FA5" w:rsidRDefault="00552F0C" w:rsidP="00552F0C">
      <w:pPr>
        <w:spacing w:after="0" w:line="240" w:lineRule="auto"/>
        <w:jc w:val="both"/>
        <w:rPr>
          <w:b/>
          <w:color w:val="008000"/>
          <w:sz w:val="28"/>
          <w:szCs w:val="28"/>
          <w:u w:val="single"/>
        </w:rPr>
      </w:pPr>
      <w:r w:rsidRPr="00CB3FA5">
        <w:rPr>
          <w:b/>
          <w:color w:val="008000"/>
          <w:sz w:val="28"/>
          <w:szCs w:val="28"/>
          <w:u w:val="single"/>
        </w:rPr>
        <w:t>CITTA’ STUDI-INDIPENDENZA-LODI CORSICA</w:t>
      </w:r>
      <w:r w:rsidR="000A4FDC" w:rsidRPr="00CB3FA5">
        <w:rPr>
          <w:b/>
          <w:color w:val="008000"/>
          <w:sz w:val="28"/>
          <w:szCs w:val="28"/>
          <w:u w:val="single"/>
        </w:rPr>
        <w:t>.</w:t>
      </w:r>
      <w:r w:rsidR="007B41C8" w:rsidRPr="00CB3FA5">
        <w:rPr>
          <w:b/>
          <w:color w:val="008000"/>
          <w:sz w:val="28"/>
          <w:szCs w:val="28"/>
          <w:u w:val="single"/>
        </w:rPr>
        <w:t xml:space="preserve"> Pregio e Villaggio Olimpico gli asset</w:t>
      </w:r>
    </w:p>
    <w:p w14:paraId="59BEE2A8" w14:textId="490DB7AF" w:rsidR="00552F0C" w:rsidRPr="00552F0C" w:rsidRDefault="00552F0C" w:rsidP="00552F0C">
      <w:pPr>
        <w:spacing w:after="0" w:line="240" w:lineRule="auto"/>
        <w:jc w:val="both"/>
        <w:rPr>
          <w:b/>
          <w:bCs/>
          <w:i/>
          <w:iCs/>
        </w:rPr>
      </w:pPr>
      <w:r>
        <w:t xml:space="preserve">Crescono dell’1,2% le quotazioni di </w:t>
      </w:r>
      <w:r w:rsidRPr="00D44BCB">
        <w:rPr>
          <w:b/>
          <w:bCs/>
        </w:rPr>
        <w:t>Città Studi</w:t>
      </w:r>
      <w:r>
        <w:rPr>
          <w:b/>
          <w:bCs/>
        </w:rPr>
        <w:t>-</w:t>
      </w:r>
      <w:r w:rsidRPr="00D44BCB">
        <w:rPr>
          <w:b/>
          <w:bCs/>
        </w:rPr>
        <w:t>Indipendenza e Lodi Corsica</w:t>
      </w:r>
      <w:r>
        <w:t xml:space="preserve">. Nella prima hanno ben performato la zona di viale Padova e di piazza Piola. Bene anche corso XXII Marzo dove c’è attesa per l’arrivo della linea 4 della metropolitana e per la nascita di aree verdi che dovrebbero sorgere non lontano dal complesso di Porta Vittoria. C’è un’ottima offerta sia per immobili di prestigio sia di tipo civile. Questi ultimi si valutano mediamente intorno a 4000 (da ristrutturare) e 4500 € al mq (per i tagli più piccoli). Sono maggiormente presenti su corso XXII Marzo.  Si segnalano punte di 6500 € al mq per le soluzioni di prestigio </w:t>
      </w:r>
      <w:r>
        <w:lastRenderedPageBreak/>
        <w:t xml:space="preserve">che si affacciano su piazza Grandi (lato Fontana-Bunker), corso Plebisciti, via Compagnoni e via </w:t>
      </w:r>
      <w:proofErr w:type="spellStart"/>
      <w:r>
        <w:t>Hajech</w:t>
      </w:r>
      <w:proofErr w:type="spellEnd"/>
      <w:r>
        <w:t xml:space="preserve">. Nella macroarea di </w:t>
      </w:r>
      <w:r w:rsidRPr="001C709B">
        <w:rPr>
          <w:b/>
          <w:bCs/>
          <w:i/>
          <w:iCs/>
        </w:rPr>
        <w:t>Lodi</w:t>
      </w:r>
      <w:r>
        <w:rPr>
          <w:b/>
          <w:bCs/>
          <w:i/>
          <w:iCs/>
        </w:rPr>
        <w:t>-</w:t>
      </w:r>
      <w:r w:rsidRPr="001C709B">
        <w:rPr>
          <w:b/>
          <w:bCs/>
          <w:i/>
          <w:iCs/>
        </w:rPr>
        <w:t>Corsica</w:t>
      </w:r>
      <w:r>
        <w:t xml:space="preserve"> le attese sono tutte per la riqualificazione dello Scalo di Porta Romana e i lavori per le Olimpiadi. </w:t>
      </w:r>
      <w:proofErr w:type="gramStart"/>
      <w:r>
        <w:t>In particolare</w:t>
      </w:r>
      <w:proofErr w:type="gramEnd"/>
      <w:r>
        <w:t xml:space="preserve"> </w:t>
      </w:r>
      <w:r w:rsidRPr="001C709B">
        <w:rPr>
          <w:b/>
          <w:bCs/>
          <w:i/>
          <w:iCs/>
        </w:rPr>
        <w:t>in corso Lodi</w:t>
      </w:r>
      <w:r>
        <w:rPr>
          <w:b/>
          <w:bCs/>
          <w:i/>
          <w:iCs/>
        </w:rPr>
        <w:t>-</w:t>
      </w:r>
      <w:r w:rsidRPr="001C709B">
        <w:rPr>
          <w:b/>
          <w:bCs/>
          <w:i/>
          <w:iCs/>
        </w:rPr>
        <w:t>San Luigi</w:t>
      </w:r>
      <w:r>
        <w:t xml:space="preserve"> dove sono già iniziati i lavori che porteranno alla nascita del Villaggio Olimpico. Si sono compravendute prime case e case ad uso investimento anche se gli investitori sono molto cauti vista la bassa domanda di immobili in affitto. </w:t>
      </w:r>
      <w:proofErr w:type="gramStart"/>
      <w:r>
        <w:t>E’</w:t>
      </w:r>
      <w:proofErr w:type="gramEnd"/>
      <w:r>
        <w:t xml:space="preserve"> stata ultimata la pedonalizzazione di piazza San Luigi con la creazione di aree verdi. Un buon usato costa 3000 € al mq. Poche le nuove costruzioni presenti in zona tra cui quelle in via Brembo e via Mocenigo a partire da 4000 € al mq. Vanno avanti i lavori nei pressi di piazzale Lodi per realizzare nuovi appartamenti in classe A la cui richiesta parte da 5000 € al mq. In questo momento c’è poca offerta. </w:t>
      </w:r>
    </w:p>
    <w:p w14:paraId="0CA48D02" w14:textId="77777777" w:rsidR="00476CB2" w:rsidRDefault="00476CB2" w:rsidP="00476CB2">
      <w:pPr>
        <w:spacing w:after="0" w:line="240" w:lineRule="auto"/>
        <w:jc w:val="both"/>
      </w:pPr>
    </w:p>
    <w:p w14:paraId="7C32ADDD" w14:textId="0249BA2E" w:rsidR="00476CB2" w:rsidRPr="00CB3FA5" w:rsidRDefault="00476CB2" w:rsidP="00476CB2">
      <w:pPr>
        <w:spacing w:after="0" w:line="240" w:lineRule="auto"/>
        <w:jc w:val="both"/>
        <w:rPr>
          <w:b/>
          <w:color w:val="008000"/>
          <w:sz w:val="28"/>
          <w:szCs w:val="28"/>
          <w:u w:val="single"/>
        </w:rPr>
      </w:pPr>
      <w:r w:rsidRPr="00CB3FA5">
        <w:rPr>
          <w:b/>
          <w:color w:val="008000"/>
          <w:sz w:val="28"/>
          <w:szCs w:val="28"/>
          <w:u w:val="single"/>
        </w:rPr>
        <w:t>NAVIGLI-FAMAGOSTA</w:t>
      </w:r>
      <w:r w:rsidR="00552F0C" w:rsidRPr="00CB3FA5">
        <w:rPr>
          <w:b/>
          <w:color w:val="008000"/>
          <w:sz w:val="28"/>
          <w:szCs w:val="28"/>
          <w:u w:val="single"/>
        </w:rPr>
        <w:t>. Investitori fermi in attesa della ripartenza delle Università</w:t>
      </w:r>
    </w:p>
    <w:p w14:paraId="3F450486" w14:textId="139B915E" w:rsidR="00476CB2" w:rsidRDefault="00476CB2" w:rsidP="00476CB2">
      <w:pPr>
        <w:spacing w:after="0" w:line="240" w:lineRule="auto"/>
        <w:jc w:val="both"/>
      </w:pPr>
      <w:r>
        <w:t xml:space="preserve">Nella macroarea di </w:t>
      </w:r>
      <w:r w:rsidRPr="0023241E">
        <w:rPr>
          <w:b/>
          <w:bCs/>
        </w:rPr>
        <w:t>Navigli</w:t>
      </w:r>
      <w:r>
        <w:rPr>
          <w:b/>
          <w:bCs/>
        </w:rPr>
        <w:t>-</w:t>
      </w:r>
      <w:r w:rsidRPr="0023241E">
        <w:rPr>
          <w:b/>
          <w:bCs/>
        </w:rPr>
        <w:t>Famagosta</w:t>
      </w:r>
      <w:r>
        <w:t xml:space="preserve"> il ribasso dei prezzi (-2,2%) ha interessato l’area di via Ripamonti- Spadolini e la zona a ridosso della Bocconi, </w:t>
      </w:r>
      <w:r w:rsidRPr="00396F55">
        <w:rPr>
          <w:b/>
          <w:bCs/>
          <w:i/>
          <w:iCs/>
        </w:rPr>
        <w:t>Tibaldi, San Gottardo e Cermenate</w:t>
      </w:r>
      <w:r w:rsidRPr="00396F55">
        <w:rPr>
          <w:i/>
          <w:iCs/>
        </w:rPr>
        <w:t>.</w:t>
      </w:r>
      <w:r>
        <w:t xml:space="preserve">  Fermi gli investitori che sono sempre stati attivi in zona e per cui si sono compravendute soprattutto prime case in Tibaldi</w:t>
      </w:r>
      <w:r w:rsidR="00552F0C">
        <w:t>-</w:t>
      </w:r>
      <w:r>
        <w:t xml:space="preserve">Cermenate dove i prezzi sono più contenuti. Per un bilocale al momento difficilmente si desidera spendere oltre 300 mila € e questo spiega le difficoltà di San Gottardo dove i prezzi sono alti e i proprietari sono restii a ridurre i prezzi. </w:t>
      </w:r>
      <w:proofErr w:type="gramStart"/>
      <w:r>
        <w:t>E’</w:t>
      </w:r>
      <w:proofErr w:type="gramEnd"/>
      <w:r>
        <w:t xml:space="preserve"> questa la zona dove si concentravano maggiormente gli investitori e su cui incombono anche diversi interventi di </w:t>
      </w:r>
      <w:proofErr w:type="spellStart"/>
      <w:r>
        <w:t>Student</w:t>
      </w:r>
      <w:proofErr w:type="spellEnd"/>
      <w:r>
        <w:t xml:space="preserve"> housing e il campus della Bocconi. Da viale Tibaldi verso corso San Gottardo e Porta </w:t>
      </w:r>
      <w:proofErr w:type="gramStart"/>
      <w:r>
        <w:t>Ticinese  le</w:t>
      </w:r>
      <w:proofErr w:type="gramEnd"/>
      <w:r>
        <w:t xml:space="preserve"> quotazioni sono più elevate e per una soluzione di piccolo taglio e in ottimo stato si parte da  5500 € al mq; nel tratto che da viale Tibaldi si sviluppa verso Cermenate si parla di valori intorno a 4000 € al mq.  Stabili le quotazioni </w:t>
      </w:r>
      <w:r w:rsidRPr="00396F55">
        <w:rPr>
          <w:b/>
          <w:bCs/>
          <w:i/>
          <w:iCs/>
        </w:rPr>
        <w:t>in via Ripamonti</w:t>
      </w:r>
      <w:r w:rsidR="00552F0C">
        <w:rPr>
          <w:b/>
          <w:bCs/>
          <w:i/>
          <w:iCs/>
        </w:rPr>
        <w:t>-</w:t>
      </w:r>
      <w:r w:rsidRPr="00396F55">
        <w:rPr>
          <w:b/>
          <w:bCs/>
          <w:i/>
          <w:iCs/>
        </w:rPr>
        <w:t>Val di Sole</w:t>
      </w:r>
      <w:r>
        <w:rPr>
          <w:b/>
          <w:bCs/>
        </w:rPr>
        <w:t xml:space="preserve">: </w:t>
      </w:r>
      <w:r w:rsidRPr="00396F55">
        <w:t>l’</w:t>
      </w:r>
      <w:r w:rsidRPr="002B3A3D">
        <w:t>area sta risentendo maggiormente d</w:t>
      </w:r>
      <w:r>
        <w:t xml:space="preserve">elle difficoltà economiche di parte della clientela, soprattutto nella parte più popolare ma, allo stesso tempo, beneficia delle migliorie che sono arrivate dopo l’insediamento della Fondazione Prada e delle aspettative legate al completamento di </w:t>
      </w:r>
      <w:proofErr w:type="spellStart"/>
      <w:r>
        <w:t>Symbiosis</w:t>
      </w:r>
      <w:proofErr w:type="spellEnd"/>
      <w:r>
        <w:t>. Si superano i 3000 € al mq</w:t>
      </w:r>
      <w:r w:rsidRPr="00630645">
        <w:t xml:space="preserve"> </w:t>
      </w:r>
      <w:r>
        <w:t xml:space="preserve">nelle traverse di via Ripamonti, si scende a 2800 € al mq su via Ripamonti e 1800 € al mq nel tratto del Vigentino. Ci sono diversi interventi di riqualificazione di aree industriali dismesse (in via Ferrari) e trasformate in aree residenziali (il nuovo costa 3200-3800 € al mq).  </w:t>
      </w:r>
    </w:p>
    <w:p w14:paraId="5CE56222" w14:textId="66F28EF6" w:rsidR="00543580" w:rsidRDefault="00543580" w:rsidP="00543580">
      <w:pPr>
        <w:spacing w:after="0" w:line="240" w:lineRule="auto"/>
        <w:jc w:val="both"/>
      </w:pPr>
    </w:p>
    <w:p w14:paraId="7AB8483B" w14:textId="0AB807E2" w:rsidR="00543580" w:rsidRDefault="00543580" w:rsidP="00543580">
      <w:pPr>
        <w:spacing w:after="0" w:line="240" w:lineRule="auto"/>
        <w:jc w:val="both"/>
      </w:pPr>
    </w:p>
    <w:sectPr w:rsidR="00543580">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35130" w14:textId="77777777" w:rsidR="002866BE" w:rsidRDefault="002866BE" w:rsidP="002866BE">
      <w:pPr>
        <w:spacing w:after="0" w:line="240" w:lineRule="auto"/>
      </w:pPr>
      <w:r>
        <w:separator/>
      </w:r>
    </w:p>
  </w:endnote>
  <w:endnote w:type="continuationSeparator" w:id="0">
    <w:p w14:paraId="52CDDBCF" w14:textId="77777777" w:rsidR="002866BE" w:rsidRDefault="002866BE" w:rsidP="00286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9FFF8" w14:textId="203F28BB" w:rsidR="002866BE" w:rsidRPr="003A6F2A" w:rsidRDefault="002866BE" w:rsidP="002866BE">
    <w:pPr>
      <w:jc w:val="right"/>
      <w:rPr>
        <w:b/>
        <w:i/>
        <w:color w:val="538135" w:themeColor="accent6" w:themeShade="BF"/>
      </w:rPr>
    </w:pPr>
    <w:r w:rsidRPr="003A6F2A">
      <w:rPr>
        <w:b/>
        <w:i/>
        <w:color w:val="538135" w:themeColor="accent6" w:themeShade="BF"/>
      </w:rPr>
      <w:t>Fonte: Ufficio Studi Gruppo Tecnocasa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91BC6" w14:textId="77777777" w:rsidR="002866BE" w:rsidRDefault="002866BE" w:rsidP="002866BE">
      <w:pPr>
        <w:spacing w:after="0" w:line="240" w:lineRule="auto"/>
      </w:pPr>
      <w:r>
        <w:separator/>
      </w:r>
    </w:p>
  </w:footnote>
  <w:footnote w:type="continuationSeparator" w:id="0">
    <w:p w14:paraId="37FB2B6A" w14:textId="77777777" w:rsidR="002866BE" w:rsidRDefault="002866BE" w:rsidP="00286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4AEB" w14:textId="08C678DF" w:rsidR="002866BE" w:rsidRDefault="002866BE">
    <w:pPr>
      <w:pStyle w:val="Intestazione"/>
    </w:pPr>
    <w:r>
      <w:rPr>
        <w:noProof/>
      </w:rPr>
      <w:drawing>
        <wp:inline distT="0" distB="0" distL="0" distR="0" wp14:anchorId="469A0192" wp14:editId="42671CBE">
          <wp:extent cx="1288415" cy="397510"/>
          <wp:effectExtent l="0" t="0" r="698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33E"/>
    <w:rsid w:val="00027D7D"/>
    <w:rsid w:val="000A4FDC"/>
    <w:rsid w:val="000C5D71"/>
    <w:rsid w:val="001423EF"/>
    <w:rsid w:val="001C709B"/>
    <w:rsid w:val="001E7F56"/>
    <w:rsid w:val="00202731"/>
    <w:rsid w:val="0023241E"/>
    <w:rsid w:val="002866BE"/>
    <w:rsid w:val="002E18EE"/>
    <w:rsid w:val="00356518"/>
    <w:rsid w:val="00396F55"/>
    <w:rsid w:val="003A6F2A"/>
    <w:rsid w:val="003E0E7D"/>
    <w:rsid w:val="0044133E"/>
    <w:rsid w:val="00464AA0"/>
    <w:rsid w:val="00476CB2"/>
    <w:rsid w:val="004A31C7"/>
    <w:rsid w:val="00543580"/>
    <w:rsid w:val="00552F0C"/>
    <w:rsid w:val="00672594"/>
    <w:rsid w:val="007B41C8"/>
    <w:rsid w:val="00827789"/>
    <w:rsid w:val="00856338"/>
    <w:rsid w:val="008763E6"/>
    <w:rsid w:val="00897B3D"/>
    <w:rsid w:val="008A105C"/>
    <w:rsid w:val="008D3F04"/>
    <w:rsid w:val="00A36D85"/>
    <w:rsid w:val="00A54775"/>
    <w:rsid w:val="00A6710F"/>
    <w:rsid w:val="00B21A92"/>
    <w:rsid w:val="00C03010"/>
    <w:rsid w:val="00C23388"/>
    <w:rsid w:val="00C718D6"/>
    <w:rsid w:val="00CB3FA5"/>
    <w:rsid w:val="00CB4C31"/>
    <w:rsid w:val="00D44BCB"/>
    <w:rsid w:val="00D53832"/>
    <w:rsid w:val="00D7207A"/>
    <w:rsid w:val="00E1718B"/>
    <w:rsid w:val="00EE70E6"/>
    <w:rsid w:val="00F30010"/>
    <w:rsid w:val="00F40C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1D8C4"/>
  <w15:chartTrackingRefBased/>
  <w15:docId w15:val="{E7A5A402-07E4-45C6-9729-978C1577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CB4C31"/>
    <w:pPr>
      <w:suppressAutoHyphens/>
      <w:autoSpaceDN w:val="0"/>
      <w:spacing w:after="200" w:line="276" w:lineRule="auto"/>
      <w:textAlignment w:val="baseline"/>
    </w:pPr>
    <w:rPr>
      <w:rFonts w:ascii="Calibri" w:eastAsia="Lucida Sans Unicode" w:hAnsi="Calibri" w:cs="F"/>
      <w:kern w:val="3"/>
    </w:rPr>
  </w:style>
  <w:style w:type="paragraph" w:styleId="Intestazione">
    <w:name w:val="header"/>
    <w:basedOn w:val="Normale"/>
    <w:link w:val="IntestazioneCarattere"/>
    <w:uiPriority w:val="99"/>
    <w:unhideWhenUsed/>
    <w:rsid w:val="002866B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66BE"/>
  </w:style>
  <w:style w:type="paragraph" w:styleId="Pidipagina">
    <w:name w:val="footer"/>
    <w:basedOn w:val="Normale"/>
    <w:link w:val="PidipaginaCarattere"/>
    <w:uiPriority w:val="99"/>
    <w:unhideWhenUsed/>
    <w:rsid w:val="002866B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66BE"/>
  </w:style>
  <w:style w:type="table" w:styleId="Tabellaelenco2-colore1">
    <w:name w:val="List Table 2 Accent 1"/>
    <w:basedOn w:val="Tabellanormale"/>
    <w:uiPriority w:val="47"/>
    <w:rsid w:val="00A5477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6acolori-colore5">
    <w:name w:val="Grid Table 6 Colorful Accent 5"/>
    <w:basedOn w:val="Tabellanormale"/>
    <w:uiPriority w:val="51"/>
    <w:rsid w:val="00A5477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6acolori-colore6">
    <w:name w:val="Grid Table 6 Colorful Accent 6"/>
    <w:basedOn w:val="Tabellanormale"/>
    <w:uiPriority w:val="51"/>
    <w:rsid w:val="00A5477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1chiara-colore6">
    <w:name w:val="List Table 1 Light Accent 6"/>
    <w:basedOn w:val="Tabellanormale"/>
    <w:uiPriority w:val="46"/>
    <w:rsid w:val="00A54775"/>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4-colore6">
    <w:name w:val="Grid Table 4 Accent 6"/>
    <w:basedOn w:val="Tabellanormale"/>
    <w:uiPriority w:val="49"/>
    <w:rsid w:val="008A10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8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4</Pages>
  <Words>1950</Words>
  <Characters>11118</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Megliola</dc:creator>
  <cp:keywords/>
  <dc:description/>
  <cp:lastModifiedBy>Vittoriana Signorini</cp:lastModifiedBy>
  <cp:revision>23</cp:revision>
  <dcterms:created xsi:type="dcterms:W3CDTF">2021-03-15T11:56:00Z</dcterms:created>
  <dcterms:modified xsi:type="dcterms:W3CDTF">2021-04-06T09:56:00Z</dcterms:modified>
</cp:coreProperties>
</file>