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BA75" w14:textId="7A94C9B6" w:rsidR="001D0F08" w:rsidRDefault="00B60D26" w:rsidP="001D0F08">
      <w:pPr>
        <w:jc w:val="center"/>
        <w:rPr>
          <w:b/>
          <w:sz w:val="24"/>
          <w:szCs w:val="24"/>
        </w:rPr>
      </w:pPr>
      <w:r>
        <w:rPr>
          <w:b/>
          <w:sz w:val="24"/>
          <w:szCs w:val="24"/>
        </w:rPr>
        <w:t>RELAZIONE ILLUSTRATIVA</w:t>
      </w:r>
    </w:p>
    <w:p w14:paraId="390B403B" w14:textId="77777777" w:rsidR="00776C7F" w:rsidRDefault="00776C7F" w:rsidP="001D0F08">
      <w:pPr>
        <w:jc w:val="center"/>
        <w:rPr>
          <w:b/>
          <w:sz w:val="24"/>
          <w:szCs w:val="24"/>
        </w:rPr>
      </w:pPr>
    </w:p>
    <w:p w14:paraId="74ABE270" w14:textId="7E0A355D" w:rsidR="00A332B5" w:rsidRPr="00FC3247" w:rsidRDefault="00C2009C" w:rsidP="005D7F7E">
      <w:pPr>
        <w:pStyle w:val="TitoloMinisteri"/>
        <w:ind w:right="21"/>
        <w:jc w:val="both"/>
        <w:rPr>
          <w:rFonts w:ascii="Times New Roman" w:eastAsia="Times New Roman" w:hAnsi="Times New Roman" w:cs="Georgia"/>
          <w:bCs w:val="0"/>
          <w:sz w:val="24"/>
          <w:szCs w:val="28"/>
          <w:lang w:eastAsia="it-IT"/>
        </w:rPr>
      </w:pPr>
      <w:r>
        <w:rPr>
          <w:rFonts w:ascii="Times New Roman" w:eastAsia="Times New Roman" w:hAnsi="Times New Roman" w:cs="Georgia"/>
          <w:bCs w:val="0"/>
          <w:sz w:val="24"/>
          <w:szCs w:val="28"/>
          <w:lang w:eastAsia="it-IT"/>
        </w:rPr>
        <w:t>D</w:t>
      </w:r>
      <w:r w:rsidR="00A332B5" w:rsidRPr="00FC3247">
        <w:rPr>
          <w:rFonts w:ascii="Times New Roman" w:eastAsia="Times New Roman" w:hAnsi="Times New Roman" w:cs="Georgia"/>
          <w:bCs w:val="0"/>
          <w:sz w:val="24"/>
          <w:szCs w:val="28"/>
          <w:lang w:eastAsia="it-IT"/>
        </w:rPr>
        <w:t>ecreto del Ministro della transizione ecologica recante “</w:t>
      </w:r>
      <w:r w:rsidR="00A332B5" w:rsidRPr="006D3BD6">
        <w:rPr>
          <w:rFonts w:ascii="Times New Roman" w:eastAsia="Times New Roman" w:hAnsi="Times New Roman" w:cs="Georgia"/>
          <w:bCs w:val="0"/>
          <w:i/>
          <w:sz w:val="24"/>
          <w:szCs w:val="28"/>
          <w:lang w:eastAsia="it-IT"/>
        </w:rPr>
        <w:t>Definizione dei costi massimi specifici omnicomprensivi agevolabili, per alcune tipologie di beni, nell’ambito delle detrazioni fiscali per gli edifici</w:t>
      </w:r>
      <w:r w:rsidR="00A332B5" w:rsidRPr="00FC3247">
        <w:rPr>
          <w:rFonts w:ascii="Times New Roman" w:eastAsia="Times New Roman" w:hAnsi="Times New Roman" w:cs="Georgia"/>
          <w:bCs w:val="0"/>
          <w:sz w:val="24"/>
          <w:szCs w:val="28"/>
          <w:lang w:eastAsia="it-IT"/>
        </w:rPr>
        <w:t>”</w:t>
      </w:r>
    </w:p>
    <w:p w14:paraId="772037F6" w14:textId="77777777" w:rsidR="00A332B5" w:rsidRDefault="00A332B5" w:rsidP="005D7F7E">
      <w:pPr>
        <w:ind w:right="21"/>
      </w:pPr>
    </w:p>
    <w:p w14:paraId="2A0FC7CA" w14:textId="77777777" w:rsidR="00A332B5" w:rsidRPr="00BC765D" w:rsidRDefault="00A332B5" w:rsidP="005D7F7E">
      <w:pPr>
        <w:spacing w:line="276" w:lineRule="auto"/>
        <w:ind w:right="21"/>
        <w:rPr>
          <w:sz w:val="24"/>
          <w:szCs w:val="24"/>
        </w:rPr>
      </w:pPr>
      <w:r w:rsidRPr="00BC765D">
        <w:rPr>
          <w:sz w:val="24"/>
          <w:szCs w:val="24"/>
        </w:rPr>
        <w:t>La legge 30 dicembre 2021, n. 234, recante “</w:t>
      </w:r>
      <w:r w:rsidRPr="00BC765D">
        <w:rPr>
          <w:i/>
          <w:sz w:val="24"/>
          <w:szCs w:val="24"/>
        </w:rPr>
        <w:t>Bilancio di previsione dello Stato per l'anno finanziario 2022 e bilancio pluriennale per il triennio 2022-2024</w:t>
      </w:r>
      <w:r w:rsidRPr="00BC765D">
        <w:rPr>
          <w:sz w:val="24"/>
          <w:szCs w:val="24"/>
        </w:rPr>
        <w:t xml:space="preserve">” (Legge di Bilancio 2022) ha modificato la disciplina del c.d. Superbonus e degli strumenti di cessione del credito e sconto in fattura, di cui rispettivamente agli articoli 119 e 121 del decreto-legge 19 maggio 2020, n. 34 (Decreto Rilancio), nonché ha introdotto nuove procedure di controllo da parte dell’Agenzia delle Entrate nell’ambito degli strumenti e misure sopra richiamate. </w:t>
      </w:r>
    </w:p>
    <w:p w14:paraId="3A7047C1" w14:textId="77777777" w:rsidR="00A332B5" w:rsidRPr="00BC765D" w:rsidRDefault="00A332B5" w:rsidP="005D7F7E">
      <w:pPr>
        <w:spacing w:line="276" w:lineRule="auto"/>
        <w:ind w:right="21"/>
        <w:rPr>
          <w:sz w:val="24"/>
          <w:szCs w:val="24"/>
        </w:rPr>
      </w:pPr>
      <w:r w:rsidRPr="00BC765D">
        <w:rPr>
          <w:sz w:val="24"/>
          <w:szCs w:val="24"/>
        </w:rPr>
        <w:t xml:space="preserve">In particolare, la Legge di Bilancio 2022 ha introdotto il comma 1-bis all’articolo 121 del Decreto Rilancio prevedendo, in caso di utilizzo degli strumenti di cessione del credito e sconto in fattura, per le spese connesse agli interventi elencati nel comma 2 del medesimo articolo, ad eccezione degli interventi di importo inferiore a 10.000 euro, o classificati come attività di edilizia libera: la richiesta del visto di conformità; l’asseverazione della congruità delle spese da parte di un tecnico abilitato secondo le disposizioni dell'articolo 119, comma 13-bis del Decreto Rilancio. </w:t>
      </w:r>
    </w:p>
    <w:p w14:paraId="007D99DF" w14:textId="77777777" w:rsidR="00A332B5" w:rsidRPr="00BC765D" w:rsidRDefault="00A332B5" w:rsidP="005D7F7E">
      <w:pPr>
        <w:spacing w:line="276" w:lineRule="auto"/>
        <w:ind w:right="21"/>
        <w:rPr>
          <w:sz w:val="24"/>
          <w:szCs w:val="24"/>
        </w:rPr>
      </w:pPr>
      <w:r w:rsidRPr="00BC765D">
        <w:rPr>
          <w:sz w:val="24"/>
          <w:szCs w:val="24"/>
        </w:rPr>
        <w:t>Quest’ultime disposizioni, modificate dalla Legge di Bilancio 2022, hanno previsto che, ai fini dell'asseverazione della congruità delle spese, si faccia riferimento:</w:t>
      </w:r>
    </w:p>
    <w:p w14:paraId="6D84C2EC" w14:textId="77777777" w:rsidR="00A332B5" w:rsidRPr="00BC765D" w:rsidRDefault="00A332B5" w:rsidP="005D7F7E">
      <w:pPr>
        <w:pStyle w:val="Paragrafoelenco"/>
        <w:numPr>
          <w:ilvl w:val="0"/>
          <w:numId w:val="18"/>
        </w:numPr>
        <w:rPr>
          <w:sz w:val="24"/>
          <w:szCs w:val="24"/>
        </w:rPr>
      </w:pPr>
      <w:r w:rsidRPr="00BC765D">
        <w:rPr>
          <w:sz w:val="24"/>
          <w:szCs w:val="24"/>
        </w:rPr>
        <w:t xml:space="preserve">ai prezzari individuati dal decreto di cui al comma 13, lettera a); </w:t>
      </w:r>
    </w:p>
    <w:p w14:paraId="1936B972" w14:textId="77777777" w:rsidR="00A332B5" w:rsidRPr="00BC765D" w:rsidRDefault="00A332B5" w:rsidP="005D7F7E">
      <w:pPr>
        <w:pStyle w:val="Paragrafoelenco"/>
        <w:numPr>
          <w:ilvl w:val="0"/>
          <w:numId w:val="18"/>
        </w:numPr>
        <w:rPr>
          <w:sz w:val="24"/>
          <w:szCs w:val="24"/>
        </w:rPr>
      </w:pPr>
      <w:r w:rsidRPr="00BC765D">
        <w:rPr>
          <w:sz w:val="24"/>
          <w:szCs w:val="24"/>
        </w:rPr>
        <w:t xml:space="preserve">ai valori massimi stabiliti, per talune categorie di beni, con decreto del Ministro della transizione ecologica.  </w:t>
      </w:r>
    </w:p>
    <w:p w14:paraId="63750408" w14:textId="095D900D" w:rsidR="00A332B5" w:rsidRPr="00A83655" w:rsidRDefault="00A332B5" w:rsidP="005D7F7E">
      <w:pPr>
        <w:spacing w:line="276" w:lineRule="auto"/>
        <w:ind w:right="21"/>
        <w:rPr>
          <w:sz w:val="24"/>
          <w:szCs w:val="24"/>
        </w:rPr>
      </w:pPr>
      <w:r w:rsidRPr="00BC765D">
        <w:rPr>
          <w:sz w:val="24"/>
          <w:szCs w:val="24"/>
        </w:rPr>
        <w:t xml:space="preserve">In attuazione del citato comma 13-bis dell'articolo 119 del Decreto Rilancio, il presento decreto definisce i costi </w:t>
      </w:r>
      <w:r w:rsidRPr="00A83655">
        <w:rPr>
          <w:sz w:val="24"/>
          <w:szCs w:val="24"/>
        </w:rPr>
        <w:t xml:space="preserve">massimi omnicomprensivi, distinti per tipologia di intervento, per gli interventi di efficienza energetica ricompresi nelle discipline cosiddette </w:t>
      </w:r>
      <w:proofErr w:type="spellStart"/>
      <w:r w:rsidRPr="00A83655">
        <w:rPr>
          <w:sz w:val="24"/>
          <w:szCs w:val="24"/>
        </w:rPr>
        <w:t>Ecobonus</w:t>
      </w:r>
      <w:proofErr w:type="spellEnd"/>
      <w:r w:rsidRPr="00A83655">
        <w:rPr>
          <w:sz w:val="24"/>
          <w:szCs w:val="24"/>
        </w:rPr>
        <w:t xml:space="preserve">, </w:t>
      </w:r>
      <w:proofErr w:type="spellStart"/>
      <w:r w:rsidRPr="00A83655">
        <w:rPr>
          <w:sz w:val="24"/>
          <w:szCs w:val="24"/>
        </w:rPr>
        <w:t>SuperEcobonus</w:t>
      </w:r>
      <w:proofErr w:type="spellEnd"/>
      <w:r w:rsidRPr="00A83655">
        <w:rPr>
          <w:sz w:val="24"/>
          <w:szCs w:val="24"/>
        </w:rPr>
        <w:t>, Bonus casa, Bonus Facciate e di incentivazione delle colonnine di ricarica elettrica, nei casi di accesso alle opzioni di sconto in fatture e cessione del credito.</w:t>
      </w:r>
    </w:p>
    <w:p w14:paraId="50416271" w14:textId="45EADEEF" w:rsidR="00892115" w:rsidRPr="00A83655" w:rsidRDefault="00892115" w:rsidP="005D7F7E">
      <w:pPr>
        <w:spacing w:line="276" w:lineRule="auto"/>
        <w:ind w:right="21"/>
        <w:rPr>
          <w:sz w:val="24"/>
          <w:szCs w:val="24"/>
        </w:rPr>
      </w:pPr>
      <w:r w:rsidRPr="00A83655">
        <w:rPr>
          <w:sz w:val="24"/>
          <w:szCs w:val="24"/>
        </w:rPr>
        <w:t>Inoltre, in conseguenza delle novità introdotte dalla Legge di Bilancio 2022, i</w:t>
      </w:r>
      <w:r w:rsidR="00A332B5" w:rsidRPr="00A83655">
        <w:rPr>
          <w:sz w:val="24"/>
          <w:szCs w:val="24"/>
        </w:rPr>
        <w:t>l decreto</w:t>
      </w:r>
      <w:r w:rsidRPr="00A83655">
        <w:rPr>
          <w:sz w:val="24"/>
          <w:szCs w:val="24"/>
        </w:rPr>
        <w:t xml:space="preserve"> coordina le nuove disposizioni con quelle relative alla congruità delle spese di cui al Decreto 6 agosto 2020 (c.d. DM Requisiti tecnici).</w:t>
      </w:r>
    </w:p>
    <w:p w14:paraId="7FCB23EC" w14:textId="77777777" w:rsidR="00A332B5" w:rsidRPr="00A83655" w:rsidRDefault="00A332B5" w:rsidP="005D7F7E">
      <w:pPr>
        <w:spacing w:line="276" w:lineRule="auto"/>
        <w:ind w:right="21"/>
        <w:rPr>
          <w:sz w:val="24"/>
          <w:szCs w:val="24"/>
        </w:rPr>
      </w:pPr>
      <w:r w:rsidRPr="00A83655">
        <w:rPr>
          <w:sz w:val="24"/>
          <w:szCs w:val="24"/>
        </w:rPr>
        <w:t>Più specificatamente, di seguito, sono illustrate le disposizioni previste dal decreto.</w:t>
      </w:r>
    </w:p>
    <w:p w14:paraId="2F2E01AE" w14:textId="77777777" w:rsidR="00A332B5" w:rsidRPr="00A83655" w:rsidRDefault="00A332B5" w:rsidP="005D7F7E">
      <w:pPr>
        <w:spacing w:line="276" w:lineRule="auto"/>
        <w:ind w:right="21"/>
        <w:rPr>
          <w:sz w:val="24"/>
          <w:szCs w:val="24"/>
        </w:rPr>
      </w:pPr>
    </w:p>
    <w:p w14:paraId="13034E40" w14:textId="77777777" w:rsidR="00A332B5" w:rsidRPr="00A83655" w:rsidRDefault="00A332B5" w:rsidP="005D7F7E">
      <w:pPr>
        <w:spacing w:line="276" w:lineRule="auto"/>
        <w:ind w:right="21"/>
        <w:rPr>
          <w:sz w:val="24"/>
          <w:szCs w:val="24"/>
        </w:rPr>
      </w:pPr>
      <w:r w:rsidRPr="00A83655">
        <w:rPr>
          <w:sz w:val="24"/>
          <w:szCs w:val="24"/>
        </w:rPr>
        <w:t>L’</w:t>
      </w:r>
      <w:r w:rsidRPr="00A83655">
        <w:rPr>
          <w:b/>
          <w:sz w:val="24"/>
          <w:szCs w:val="24"/>
        </w:rPr>
        <w:t xml:space="preserve">articolo 1 </w:t>
      </w:r>
      <w:r w:rsidRPr="00A83655">
        <w:rPr>
          <w:sz w:val="24"/>
          <w:szCs w:val="24"/>
        </w:rPr>
        <w:t>definisce la finalità del decreto, ovvero che lo stesso individua i costi massimi specifici omnicomprensivi agevolabili, per alcune tipologie di beni, ai fini dell'asseverazione della congruità delle spese per l’accesso ai benefici fiscali, in attuazione del comma 13-bis, articolo 119 del Decreto Rilancio.</w:t>
      </w:r>
    </w:p>
    <w:p w14:paraId="512F73F5" w14:textId="2AD9DF5F" w:rsidR="00A332B5" w:rsidRPr="00A83655" w:rsidRDefault="00A332B5" w:rsidP="00892115">
      <w:pPr>
        <w:spacing w:line="276" w:lineRule="auto"/>
        <w:ind w:right="21"/>
        <w:rPr>
          <w:sz w:val="24"/>
          <w:szCs w:val="24"/>
        </w:rPr>
      </w:pPr>
      <w:r w:rsidRPr="00A83655">
        <w:rPr>
          <w:sz w:val="24"/>
          <w:szCs w:val="24"/>
        </w:rPr>
        <w:t>L’</w:t>
      </w:r>
      <w:r w:rsidRPr="00A83655">
        <w:rPr>
          <w:b/>
          <w:sz w:val="24"/>
          <w:szCs w:val="24"/>
        </w:rPr>
        <w:t xml:space="preserve">articolo 2 </w:t>
      </w:r>
      <w:r w:rsidRPr="00A83655">
        <w:rPr>
          <w:rFonts w:cs="Times New Roman"/>
          <w:sz w:val="24"/>
          <w:szCs w:val="24"/>
        </w:rPr>
        <w:t>circoscrive il perimetro di applicazione del decreto ai soli casi di accesso alle opzioni di cessione del credito e sconto in fattura per gli interventi di cui al comma 2 dell’articolo 121 del Decreto Rilancio</w:t>
      </w:r>
      <w:r w:rsidR="000B5EA1" w:rsidRPr="00A83655">
        <w:rPr>
          <w:rFonts w:cs="Times New Roman"/>
          <w:sz w:val="24"/>
          <w:szCs w:val="24"/>
        </w:rPr>
        <w:t xml:space="preserve">, qualora non sia già stato presentato il </w:t>
      </w:r>
      <w:r w:rsidR="000B5EA1" w:rsidRPr="00A83655">
        <w:rPr>
          <w:sz w:val="24"/>
          <w:szCs w:val="24"/>
        </w:rPr>
        <w:t>titolo edilizio alla data di entrata in vigore del presente decreto</w:t>
      </w:r>
      <w:r w:rsidR="00A83655">
        <w:rPr>
          <w:sz w:val="24"/>
          <w:szCs w:val="24"/>
        </w:rPr>
        <w:t>.</w:t>
      </w:r>
    </w:p>
    <w:p w14:paraId="24806136" w14:textId="1D98C7FE" w:rsidR="00A332B5" w:rsidRPr="00A83655" w:rsidRDefault="00A83655" w:rsidP="005D7F7E">
      <w:pPr>
        <w:spacing w:line="276" w:lineRule="auto"/>
        <w:ind w:right="21"/>
        <w:rPr>
          <w:sz w:val="24"/>
          <w:szCs w:val="24"/>
        </w:rPr>
      </w:pPr>
      <w:r w:rsidRPr="00BD0F66">
        <w:rPr>
          <w:sz w:val="24"/>
          <w:szCs w:val="24"/>
        </w:rPr>
        <w:lastRenderedPageBreak/>
        <w:t>L’</w:t>
      </w:r>
      <w:r w:rsidRPr="00BD0F66">
        <w:rPr>
          <w:b/>
          <w:sz w:val="24"/>
          <w:szCs w:val="24"/>
        </w:rPr>
        <w:t xml:space="preserve">articolo 3 </w:t>
      </w:r>
      <w:r w:rsidRPr="00BD0F66">
        <w:rPr>
          <w:sz w:val="24"/>
          <w:szCs w:val="24"/>
        </w:rPr>
        <w:t xml:space="preserve">prevede che per tutti gli interventi di cui all’articolo 2, l’asseverazione sulla congruità della spesa sia redatta dal tecnico abilitato sulla base dei costi massimi </w:t>
      </w:r>
      <w:r w:rsidRPr="00BD0F66">
        <w:rPr>
          <w:rFonts w:cs="Times New Roman"/>
          <w:sz w:val="24"/>
          <w:szCs w:val="24"/>
        </w:rPr>
        <w:t>specifici omnicomprensivi riportati nell’Allegato A.</w:t>
      </w:r>
      <w:r w:rsidRPr="00A83655">
        <w:rPr>
          <w:rFonts w:cs="Times New Roman"/>
          <w:sz w:val="24"/>
          <w:szCs w:val="24"/>
        </w:rPr>
        <w:t xml:space="preserve"> </w:t>
      </w:r>
      <w:r w:rsidR="00A332B5" w:rsidRPr="00A83655">
        <w:rPr>
          <w:rFonts w:cs="Times New Roman"/>
          <w:sz w:val="24"/>
          <w:szCs w:val="24"/>
        </w:rPr>
        <w:t>In tutti gli altri casi</w:t>
      </w:r>
      <w:r w:rsidR="00892115" w:rsidRPr="00A83655">
        <w:rPr>
          <w:rFonts w:cs="Times New Roman"/>
          <w:sz w:val="24"/>
          <w:szCs w:val="24"/>
        </w:rPr>
        <w:t>,</w:t>
      </w:r>
      <w:r w:rsidR="00892115" w:rsidRPr="00A83655">
        <w:rPr>
          <w:sz w:val="24"/>
          <w:szCs w:val="24"/>
        </w:rPr>
        <w:t xml:space="preserve"> la verifica della congruità della spesa è effettuata con riferimento ai </w:t>
      </w:r>
      <w:r w:rsidR="00A332B5" w:rsidRPr="00A83655">
        <w:rPr>
          <w:rFonts w:cs="Times New Roman"/>
          <w:sz w:val="24"/>
          <w:szCs w:val="24"/>
        </w:rPr>
        <w:t xml:space="preserve">prezziari </w:t>
      </w:r>
      <w:r w:rsidR="00892115" w:rsidRPr="00A83655">
        <w:rPr>
          <w:rFonts w:cs="Times New Roman"/>
          <w:sz w:val="24"/>
          <w:szCs w:val="24"/>
        </w:rPr>
        <w:t xml:space="preserve">sopra indicati, così come </w:t>
      </w:r>
      <w:r w:rsidR="00A332B5" w:rsidRPr="00A83655">
        <w:rPr>
          <w:rFonts w:cs="Times New Roman"/>
          <w:sz w:val="24"/>
          <w:szCs w:val="24"/>
        </w:rPr>
        <w:t xml:space="preserve">disposto dal </w:t>
      </w:r>
      <w:r w:rsidR="00A332B5" w:rsidRPr="00A83655">
        <w:rPr>
          <w:sz w:val="24"/>
          <w:szCs w:val="24"/>
        </w:rPr>
        <w:t>comma 13-bis, articolo 119 del Decreto Rilancio.</w:t>
      </w:r>
    </w:p>
    <w:p w14:paraId="7399BE9F" w14:textId="5CB707C2" w:rsidR="00892115" w:rsidRPr="00A83655" w:rsidRDefault="00A332B5" w:rsidP="00892115">
      <w:pPr>
        <w:spacing w:line="276" w:lineRule="auto"/>
        <w:ind w:right="21"/>
        <w:rPr>
          <w:rFonts w:cs="Times New Roman"/>
          <w:sz w:val="24"/>
          <w:szCs w:val="24"/>
        </w:rPr>
      </w:pPr>
      <w:r w:rsidRPr="00A83655">
        <w:rPr>
          <w:rFonts w:cs="Times New Roman"/>
          <w:sz w:val="24"/>
          <w:szCs w:val="24"/>
        </w:rPr>
        <w:t>L’</w:t>
      </w:r>
      <w:r w:rsidRPr="00A83655">
        <w:rPr>
          <w:rFonts w:cs="Times New Roman"/>
          <w:b/>
          <w:sz w:val="24"/>
          <w:szCs w:val="24"/>
        </w:rPr>
        <w:t>articolo 4</w:t>
      </w:r>
      <w:r w:rsidR="00892115" w:rsidRPr="00A83655">
        <w:rPr>
          <w:rFonts w:cs="Times New Roman"/>
          <w:sz w:val="24"/>
          <w:szCs w:val="24"/>
        </w:rPr>
        <w:t xml:space="preserve"> coordina le nuove disposizioni e quanto previsto dalla Legge di Bilancio 2022 con il Decreto 6 agosto 2020 (c.d. DM Requisiti tecnici). In particolare:</w:t>
      </w:r>
    </w:p>
    <w:p w14:paraId="6C32CAAD" w14:textId="5F77E7AF" w:rsidR="00892115" w:rsidRPr="00A83655" w:rsidRDefault="00892115" w:rsidP="00892115">
      <w:pPr>
        <w:pStyle w:val="Paragrafoelenco"/>
        <w:numPr>
          <w:ilvl w:val="0"/>
          <w:numId w:val="19"/>
        </w:numPr>
        <w:rPr>
          <w:sz w:val="24"/>
          <w:szCs w:val="24"/>
        </w:rPr>
      </w:pPr>
      <w:r w:rsidRPr="00A83655">
        <w:rPr>
          <w:sz w:val="24"/>
          <w:szCs w:val="24"/>
        </w:rPr>
        <w:t xml:space="preserve">considera ammissibili le spese per il rilascio del visto di conformità, delle attestazioni e delle asseverazioni per l’accesso alle opzioni di sconto in fattura e cessione del credito, in attuazione dell’art.121 della </w:t>
      </w:r>
      <w:r w:rsidRPr="00A83655">
        <w:rPr>
          <w:rFonts w:cs="Times New Roman"/>
          <w:sz w:val="24"/>
          <w:szCs w:val="24"/>
        </w:rPr>
        <w:t>Legge di Bilancio 2022</w:t>
      </w:r>
      <w:r w:rsidRPr="00A83655">
        <w:rPr>
          <w:sz w:val="24"/>
          <w:szCs w:val="24"/>
        </w:rPr>
        <w:t>;</w:t>
      </w:r>
    </w:p>
    <w:p w14:paraId="739644DB" w14:textId="511F9E64" w:rsidR="00892115" w:rsidRPr="00A83655" w:rsidRDefault="00892115" w:rsidP="00892115">
      <w:pPr>
        <w:pStyle w:val="Paragrafoelenco"/>
        <w:numPr>
          <w:ilvl w:val="0"/>
          <w:numId w:val="19"/>
        </w:numPr>
        <w:rPr>
          <w:sz w:val="24"/>
          <w:szCs w:val="24"/>
        </w:rPr>
      </w:pPr>
      <w:r w:rsidRPr="00A83655">
        <w:rPr>
          <w:sz w:val="24"/>
          <w:szCs w:val="24"/>
        </w:rPr>
        <w:t>chiarisce che la verifica della congruità dei costi ten</w:t>
      </w:r>
      <w:r w:rsidR="000B5EA1" w:rsidRPr="00A83655">
        <w:rPr>
          <w:sz w:val="24"/>
          <w:szCs w:val="24"/>
        </w:rPr>
        <w:t xml:space="preserve">ga </w:t>
      </w:r>
      <w:r w:rsidRPr="00A83655">
        <w:rPr>
          <w:sz w:val="24"/>
          <w:szCs w:val="24"/>
        </w:rPr>
        <w:t xml:space="preserve">conto </w:t>
      </w:r>
      <w:r w:rsidR="000B5EA1" w:rsidRPr="00A83655">
        <w:rPr>
          <w:sz w:val="24"/>
          <w:szCs w:val="24"/>
        </w:rPr>
        <w:t xml:space="preserve">anche </w:t>
      </w:r>
      <w:r w:rsidRPr="00A83655">
        <w:rPr>
          <w:sz w:val="24"/>
          <w:szCs w:val="24"/>
        </w:rPr>
        <w:t>di quanto previsto dal presente decreto;</w:t>
      </w:r>
    </w:p>
    <w:p w14:paraId="66DC890E" w14:textId="36DF4FAA" w:rsidR="00892115" w:rsidRPr="00A83655" w:rsidRDefault="00892115" w:rsidP="00892115">
      <w:pPr>
        <w:pStyle w:val="Paragrafoelenco"/>
        <w:numPr>
          <w:ilvl w:val="0"/>
          <w:numId w:val="19"/>
        </w:numPr>
        <w:rPr>
          <w:sz w:val="24"/>
          <w:szCs w:val="24"/>
        </w:rPr>
      </w:pPr>
      <w:r w:rsidRPr="00A83655">
        <w:rPr>
          <w:sz w:val="24"/>
          <w:szCs w:val="24"/>
        </w:rPr>
        <w:t xml:space="preserve">prevede che l’asseverazione della congruità delle spese sia effettuata esclusivamente con riferimento ai costi massimi specifici omnicomprensivi per tipologia di intervento di cui all’Allegato I. Inoltre, il decreto </w:t>
      </w:r>
      <w:r w:rsidR="000B5EA1" w:rsidRPr="00A83655">
        <w:rPr>
          <w:sz w:val="24"/>
          <w:szCs w:val="24"/>
        </w:rPr>
        <w:t xml:space="preserve">coordina le nuove disposizioni con </w:t>
      </w:r>
      <w:r w:rsidRPr="00A83655">
        <w:rPr>
          <w:sz w:val="24"/>
          <w:szCs w:val="24"/>
        </w:rPr>
        <w:t>le seguenti previsioni:</w:t>
      </w:r>
    </w:p>
    <w:p w14:paraId="3582D5E6" w14:textId="77777777" w:rsidR="00892115" w:rsidRPr="00A83655" w:rsidRDefault="00892115" w:rsidP="00892115">
      <w:pPr>
        <w:pStyle w:val="Paragrafoelenco"/>
        <w:numPr>
          <w:ilvl w:val="1"/>
          <w:numId w:val="20"/>
        </w:numPr>
        <w:rPr>
          <w:sz w:val="24"/>
          <w:szCs w:val="24"/>
        </w:rPr>
      </w:pPr>
      <w:r w:rsidRPr="00A83655">
        <w:rPr>
          <w:sz w:val="24"/>
          <w:szCs w:val="24"/>
        </w:rPr>
        <w:t>quella secondo cui l’ammontare massimo delle detrazioni fiscali o della spesa massima ammissibile per gli interventi non soggetti ad asseverazione sia calcolato con riferimento ai costi massimi specifici omnicomprensivi per tipologia di intervento di cui all’Allegato I;</w:t>
      </w:r>
    </w:p>
    <w:p w14:paraId="77549D09" w14:textId="77777777" w:rsidR="00892115" w:rsidRPr="00A83655" w:rsidRDefault="00892115" w:rsidP="00892115">
      <w:pPr>
        <w:pStyle w:val="Paragrafoelenco"/>
        <w:numPr>
          <w:ilvl w:val="1"/>
          <w:numId w:val="20"/>
        </w:numPr>
        <w:rPr>
          <w:sz w:val="24"/>
          <w:szCs w:val="24"/>
        </w:rPr>
      </w:pPr>
      <w:r w:rsidRPr="00A83655">
        <w:rPr>
          <w:sz w:val="24"/>
          <w:szCs w:val="24"/>
        </w:rPr>
        <w:t>quella secondo cui i costi professionali massimi sono calcolati con riferimento al decreto del Ministro della giustizia 17 giugno 2016, ma solo casi non già regolati dal presente decreto, ovvero nei casi di utilizzo dei prezziari di cui all’articolo 3.</w:t>
      </w:r>
    </w:p>
    <w:p w14:paraId="0419633A" w14:textId="77777777" w:rsidR="00892115" w:rsidRPr="00A83655" w:rsidRDefault="00892115" w:rsidP="00892115">
      <w:pPr>
        <w:pStyle w:val="Paragrafoelenco"/>
        <w:numPr>
          <w:ilvl w:val="0"/>
          <w:numId w:val="19"/>
        </w:numPr>
        <w:rPr>
          <w:sz w:val="24"/>
          <w:szCs w:val="24"/>
        </w:rPr>
      </w:pPr>
      <w:r w:rsidRPr="00A83655">
        <w:rPr>
          <w:sz w:val="24"/>
          <w:szCs w:val="24"/>
        </w:rPr>
        <w:t>sostituisce l’Allegato I con l’Allegato A del presente decreto.</w:t>
      </w:r>
    </w:p>
    <w:p w14:paraId="34450863" w14:textId="0A3B2B2F" w:rsidR="00A332B5" w:rsidRPr="00A83655" w:rsidRDefault="000B5EA1" w:rsidP="00892115">
      <w:pPr>
        <w:spacing w:line="276" w:lineRule="auto"/>
        <w:ind w:right="21"/>
        <w:rPr>
          <w:sz w:val="24"/>
          <w:szCs w:val="24"/>
        </w:rPr>
      </w:pPr>
      <w:r w:rsidRPr="00A83655">
        <w:rPr>
          <w:rFonts w:cs="Times New Roman"/>
          <w:sz w:val="24"/>
          <w:szCs w:val="24"/>
        </w:rPr>
        <w:t>L’</w:t>
      </w:r>
      <w:r w:rsidRPr="00A83655">
        <w:rPr>
          <w:rFonts w:cs="Times New Roman"/>
          <w:b/>
          <w:sz w:val="24"/>
          <w:szCs w:val="24"/>
        </w:rPr>
        <w:t xml:space="preserve">articolo 5 </w:t>
      </w:r>
      <w:r w:rsidRPr="00A83655">
        <w:rPr>
          <w:rFonts w:cs="Times New Roman"/>
          <w:sz w:val="24"/>
          <w:szCs w:val="24"/>
        </w:rPr>
        <w:t>dispone</w:t>
      </w:r>
      <w:r w:rsidRPr="00A83655">
        <w:rPr>
          <w:rFonts w:cs="Times New Roman"/>
          <w:b/>
          <w:sz w:val="24"/>
          <w:szCs w:val="24"/>
        </w:rPr>
        <w:t xml:space="preserve"> </w:t>
      </w:r>
      <w:r w:rsidR="00A332B5" w:rsidRPr="00A83655">
        <w:rPr>
          <w:rFonts w:cs="Times New Roman"/>
          <w:sz w:val="24"/>
          <w:szCs w:val="24"/>
        </w:rPr>
        <w:t>che, al fine di</w:t>
      </w:r>
      <w:r w:rsidR="00A332B5" w:rsidRPr="00A83655">
        <w:rPr>
          <w:rFonts w:cs="Times New Roman"/>
          <w:b/>
          <w:sz w:val="24"/>
          <w:szCs w:val="24"/>
        </w:rPr>
        <w:t xml:space="preserve"> </w:t>
      </w:r>
      <w:r w:rsidR="00A332B5" w:rsidRPr="00A83655">
        <w:rPr>
          <w:rFonts w:cs="Times New Roman"/>
          <w:sz w:val="24"/>
          <w:szCs w:val="24"/>
        </w:rPr>
        <w:t xml:space="preserve">tutelare gli investimenti già avviati e quelli in via di realizzazione, il decreto </w:t>
      </w:r>
      <w:r w:rsidRPr="00A83655">
        <w:rPr>
          <w:rFonts w:cs="Times New Roman"/>
          <w:sz w:val="24"/>
          <w:szCs w:val="24"/>
        </w:rPr>
        <w:t xml:space="preserve">entri in vigore </w:t>
      </w:r>
      <w:r w:rsidR="00C23BD4" w:rsidRPr="0023181E">
        <w:rPr>
          <w:rFonts w:cs="Times New Roman"/>
          <w:sz w:val="24"/>
          <w:szCs w:val="24"/>
        </w:rPr>
        <w:t xml:space="preserve">decorsi </w:t>
      </w:r>
      <w:r w:rsidR="00C2009C" w:rsidRPr="0028306C">
        <w:rPr>
          <w:rFonts w:cs="Times New Roman"/>
          <w:sz w:val="24"/>
          <w:szCs w:val="24"/>
          <w:highlight w:val="yellow"/>
        </w:rPr>
        <w:t xml:space="preserve">30 </w:t>
      </w:r>
      <w:r w:rsidR="00A332B5" w:rsidRPr="0028306C">
        <w:rPr>
          <w:rFonts w:cs="Times New Roman"/>
          <w:sz w:val="24"/>
          <w:szCs w:val="24"/>
          <w:highlight w:val="yellow"/>
        </w:rPr>
        <w:t>giorni</w:t>
      </w:r>
      <w:r w:rsidR="00A332B5" w:rsidRPr="00A83655">
        <w:rPr>
          <w:rFonts w:cs="Times New Roman"/>
          <w:sz w:val="24"/>
          <w:szCs w:val="24"/>
        </w:rPr>
        <w:t xml:space="preserve"> dalla pubblicazione in gazzetta ufficiale</w:t>
      </w:r>
      <w:r w:rsidR="002C6FA9" w:rsidRPr="00A83655">
        <w:rPr>
          <w:rFonts w:cs="Times New Roman"/>
          <w:sz w:val="24"/>
          <w:szCs w:val="24"/>
        </w:rPr>
        <w:t xml:space="preserve"> dello stesso</w:t>
      </w:r>
      <w:r w:rsidR="005E5B15">
        <w:rPr>
          <w:rFonts w:cs="Times New Roman"/>
          <w:sz w:val="24"/>
          <w:szCs w:val="24"/>
        </w:rPr>
        <w:t xml:space="preserve"> </w:t>
      </w:r>
      <w:r w:rsidR="005E5B15" w:rsidRPr="005E5B15">
        <w:rPr>
          <w:rFonts w:cs="Times New Roman"/>
          <w:sz w:val="24"/>
          <w:szCs w:val="24"/>
          <w:highlight w:val="yellow"/>
        </w:rPr>
        <w:t>e che i valori dei costi massimi sono rivisti periodicamente in base agli esiti del monitoraggio condotto da ENEA.</w:t>
      </w:r>
    </w:p>
    <w:p w14:paraId="30EC8C61" w14:textId="64BA8B66" w:rsidR="00685D4F" w:rsidRDefault="00A332B5" w:rsidP="005D7F7E">
      <w:pPr>
        <w:spacing w:line="276" w:lineRule="auto"/>
        <w:ind w:right="21"/>
        <w:rPr>
          <w:rFonts w:cs="Times New Roman"/>
          <w:sz w:val="24"/>
          <w:szCs w:val="24"/>
        </w:rPr>
      </w:pPr>
      <w:r w:rsidRPr="00A83655">
        <w:rPr>
          <w:rFonts w:cs="Times New Roman"/>
          <w:sz w:val="24"/>
          <w:szCs w:val="24"/>
        </w:rPr>
        <w:t>L’</w:t>
      </w:r>
      <w:r w:rsidRPr="00A83655">
        <w:rPr>
          <w:rFonts w:cs="Times New Roman"/>
          <w:b/>
          <w:sz w:val="24"/>
          <w:szCs w:val="24"/>
        </w:rPr>
        <w:t xml:space="preserve">Allegato A </w:t>
      </w:r>
      <w:r w:rsidRPr="00A83655">
        <w:rPr>
          <w:rFonts w:cs="Times New Roman"/>
          <w:sz w:val="24"/>
          <w:szCs w:val="24"/>
        </w:rPr>
        <w:t xml:space="preserve">indicata i costi massimi specifici omnicomprensivi per </w:t>
      </w:r>
      <w:r w:rsidR="000B5EA1" w:rsidRPr="00A83655">
        <w:rPr>
          <w:rFonts w:cs="Times New Roman"/>
          <w:sz w:val="24"/>
          <w:szCs w:val="24"/>
        </w:rPr>
        <w:t>i soli</w:t>
      </w:r>
      <w:r w:rsidRPr="00A83655">
        <w:rPr>
          <w:rFonts w:cs="Times New Roman"/>
          <w:sz w:val="24"/>
          <w:szCs w:val="24"/>
        </w:rPr>
        <w:t xml:space="preserve"> interventi di efficienza energetica</w:t>
      </w:r>
      <w:r w:rsidR="000B5EA1" w:rsidRPr="00A83655">
        <w:rPr>
          <w:rFonts w:cs="Times New Roman"/>
          <w:sz w:val="24"/>
          <w:szCs w:val="24"/>
        </w:rPr>
        <w:t xml:space="preserve">, </w:t>
      </w:r>
      <w:r w:rsidRPr="00A83655">
        <w:rPr>
          <w:rFonts w:cs="Times New Roman"/>
          <w:sz w:val="24"/>
          <w:szCs w:val="24"/>
        </w:rPr>
        <w:t>integra</w:t>
      </w:r>
      <w:r w:rsidR="000B5EA1" w:rsidRPr="00A83655">
        <w:rPr>
          <w:rFonts w:cs="Times New Roman"/>
          <w:sz w:val="24"/>
          <w:szCs w:val="24"/>
        </w:rPr>
        <w:t>ndo</w:t>
      </w:r>
      <w:r w:rsidR="00C23BD4" w:rsidRPr="00A83655">
        <w:rPr>
          <w:rFonts w:cs="Times New Roman"/>
          <w:sz w:val="24"/>
          <w:szCs w:val="24"/>
        </w:rPr>
        <w:t xml:space="preserve"> e sostituendo</w:t>
      </w:r>
      <w:r w:rsidRPr="00A83655">
        <w:rPr>
          <w:rFonts w:cs="Times New Roman"/>
          <w:sz w:val="24"/>
          <w:szCs w:val="24"/>
        </w:rPr>
        <w:t xml:space="preserve"> quelli già definiti dall’Allegato I del DM Requisiti tecnici. L’Allegato chiarisce che i costi indicati sono omnicomprensivi di qualunque ulteriore costo e rappresentano quindi il costo “chiavi in mano” al cittadino; questo permette una </w:t>
      </w:r>
      <w:r w:rsidR="005A2DCB" w:rsidRPr="00A83655">
        <w:rPr>
          <w:rFonts w:cs="Times New Roman"/>
          <w:sz w:val="24"/>
          <w:szCs w:val="24"/>
        </w:rPr>
        <w:t xml:space="preserve">significativa </w:t>
      </w:r>
      <w:r w:rsidRPr="00A83655">
        <w:rPr>
          <w:rFonts w:cs="Times New Roman"/>
          <w:sz w:val="24"/>
          <w:szCs w:val="24"/>
        </w:rPr>
        <w:t>semplificazione dell’</w:t>
      </w:r>
      <w:r w:rsidR="002C6FA9" w:rsidRPr="00A83655">
        <w:rPr>
          <w:rFonts w:cs="Times New Roman"/>
          <w:sz w:val="24"/>
          <w:szCs w:val="24"/>
        </w:rPr>
        <w:t>intera procedura d</w:t>
      </w:r>
      <w:r w:rsidRPr="00A83655">
        <w:rPr>
          <w:rFonts w:cs="Times New Roman"/>
          <w:sz w:val="24"/>
          <w:szCs w:val="24"/>
        </w:rPr>
        <w:t>i asseverazione</w:t>
      </w:r>
      <w:r w:rsidR="00C2009C" w:rsidRPr="00A83655">
        <w:rPr>
          <w:rFonts w:cs="Times New Roman"/>
          <w:sz w:val="24"/>
          <w:szCs w:val="24"/>
        </w:rPr>
        <w:t xml:space="preserve">. </w:t>
      </w:r>
      <w:r w:rsidRPr="00A83655">
        <w:rPr>
          <w:rFonts w:cs="Times New Roman"/>
          <w:sz w:val="24"/>
          <w:szCs w:val="24"/>
        </w:rPr>
        <w:t>I c</w:t>
      </w:r>
      <w:r w:rsidR="003E7A12">
        <w:rPr>
          <w:rFonts w:cs="Times New Roman"/>
          <w:sz w:val="24"/>
          <w:szCs w:val="24"/>
        </w:rPr>
        <w:t>osti di cui al citato Allegato A</w:t>
      </w:r>
      <w:r w:rsidRPr="00A83655">
        <w:rPr>
          <w:rFonts w:cs="Times New Roman"/>
          <w:sz w:val="24"/>
          <w:szCs w:val="24"/>
        </w:rPr>
        <w:t xml:space="preserve"> sono </w:t>
      </w:r>
      <w:r w:rsidR="00857AE1" w:rsidRPr="00A83655">
        <w:rPr>
          <w:rFonts w:cs="Times New Roman"/>
          <w:sz w:val="24"/>
          <w:szCs w:val="24"/>
        </w:rPr>
        <w:t xml:space="preserve">stati </w:t>
      </w:r>
      <w:r w:rsidR="00857AE1" w:rsidRPr="00754A7D">
        <w:rPr>
          <w:rFonts w:cs="Times New Roman"/>
          <w:sz w:val="24"/>
          <w:szCs w:val="24"/>
        </w:rPr>
        <w:t>definiti</w:t>
      </w:r>
      <w:r w:rsidR="00685D4F">
        <w:rPr>
          <w:rFonts w:cs="Times New Roman"/>
          <w:sz w:val="24"/>
          <w:szCs w:val="24"/>
        </w:rPr>
        <w:t>:</w:t>
      </w:r>
    </w:p>
    <w:p w14:paraId="316DD35D" w14:textId="166749C1" w:rsidR="00685D4F" w:rsidRDefault="00857AE1" w:rsidP="00685D4F">
      <w:pPr>
        <w:pStyle w:val="Paragrafoelenco"/>
        <w:numPr>
          <w:ilvl w:val="0"/>
          <w:numId w:val="22"/>
        </w:numPr>
        <w:spacing w:line="276" w:lineRule="auto"/>
        <w:ind w:right="21"/>
        <w:rPr>
          <w:rFonts w:cs="Times New Roman"/>
          <w:sz w:val="24"/>
          <w:szCs w:val="24"/>
        </w:rPr>
      </w:pPr>
      <w:r w:rsidRPr="00685D4F">
        <w:rPr>
          <w:rFonts w:cs="Times New Roman"/>
          <w:sz w:val="24"/>
          <w:szCs w:val="24"/>
        </w:rPr>
        <w:t xml:space="preserve"> </w:t>
      </w:r>
      <w:r w:rsidR="00685D4F">
        <w:rPr>
          <w:rFonts w:cs="Times New Roman"/>
          <w:sz w:val="24"/>
          <w:szCs w:val="24"/>
        </w:rPr>
        <w:t xml:space="preserve">in base ai costi massimi direttamente previsti dalla norma primaria per </w:t>
      </w:r>
      <w:r w:rsidR="00685D4F" w:rsidRPr="00685D4F">
        <w:rPr>
          <w:rFonts w:cs="Times New Roman"/>
          <w:sz w:val="24"/>
          <w:szCs w:val="24"/>
        </w:rPr>
        <w:t>gli impianti fotovoltaici, i sistemi di accumulo dell’energia elettrica e le colonnine di ricarica dei veicoli el</w:t>
      </w:r>
      <w:r w:rsidR="00685D4F">
        <w:rPr>
          <w:rFonts w:cs="Times New Roman"/>
          <w:sz w:val="24"/>
          <w:szCs w:val="24"/>
        </w:rPr>
        <w:t>ettrici;</w:t>
      </w:r>
      <w:r w:rsidR="00685D4F" w:rsidRPr="00685D4F">
        <w:rPr>
          <w:rFonts w:cs="Times New Roman"/>
          <w:sz w:val="24"/>
          <w:szCs w:val="24"/>
        </w:rPr>
        <w:t xml:space="preserve"> </w:t>
      </w:r>
    </w:p>
    <w:p w14:paraId="6624DC75" w14:textId="181CFF4A" w:rsidR="00685D4F" w:rsidRPr="003E7A12" w:rsidRDefault="00685D4F" w:rsidP="003E7A12">
      <w:pPr>
        <w:pStyle w:val="Paragrafoelenco"/>
        <w:numPr>
          <w:ilvl w:val="0"/>
          <w:numId w:val="22"/>
        </w:numPr>
        <w:spacing w:line="276" w:lineRule="auto"/>
        <w:ind w:right="21"/>
        <w:rPr>
          <w:rFonts w:cs="Times New Roman"/>
          <w:sz w:val="24"/>
          <w:szCs w:val="24"/>
          <w:highlight w:val="yellow"/>
        </w:rPr>
      </w:pPr>
      <w:r>
        <w:rPr>
          <w:rFonts w:cs="Times New Roman"/>
          <w:sz w:val="24"/>
          <w:szCs w:val="24"/>
        </w:rPr>
        <w:t xml:space="preserve">per gli altri interventi direttamente connessi all’efficienza energetica, </w:t>
      </w:r>
      <w:r w:rsidR="00857AE1" w:rsidRPr="00685D4F">
        <w:rPr>
          <w:rFonts w:cs="Times New Roman"/>
          <w:sz w:val="24"/>
          <w:szCs w:val="24"/>
        </w:rPr>
        <w:t xml:space="preserve">tenendo conto </w:t>
      </w:r>
      <w:r w:rsidR="00A332B5" w:rsidRPr="00685D4F">
        <w:rPr>
          <w:rFonts w:cs="Times New Roman"/>
          <w:sz w:val="24"/>
          <w:szCs w:val="24"/>
        </w:rPr>
        <w:t xml:space="preserve">delle spese </w:t>
      </w:r>
      <w:r w:rsidR="00754A7D" w:rsidRPr="00685D4F">
        <w:rPr>
          <w:rFonts w:cs="Times New Roman"/>
          <w:sz w:val="24"/>
          <w:szCs w:val="24"/>
        </w:rPr>
        <w:t>omnicomprensive</w:t>
      </w:r>
      <w:r w:rsidR="00B54FC8" w:rsidRPr="00685D4F">
        <w:rPr>
          <w:rFonts w:cs="Times New Roman"/>
          <w:sz w:val="24"/>
          <w:szCs w:val="24"/>
        </w:rPr>
        <w:t xml:space="preserve"> </w:t>
      </w:r>
      <w:r w:rsidR="0068561F" w:rsidRPr="00685D4F">
        <w:rPr>
          <w:rFonts w:cs="Times New Roman"/>
          <w:sz w:val="24"/>
          <w:szCs w:val="24"/>
        </w:rPr>
        <w:t xml:space="preserve">auto-dichiarate dai contribuenti </w:t>
      </w:r>
      <w:r w:rsidR="00A332B5" w:rsidRPr="00685D4F">
        <w:rPr>
          <w:rFonts w:cs="Times New Roman"/>
          <w:sz w:val="24"/>
          <w:szCs w:val="24"/>
        </w:rPr>
        <w:t>per gli interventi</w:t>
      </w:r>
      <w:r w:rsidRPr="00685D4F">
        <w:rPr>
          <w:rFonts w:cs="Times New Roman"/>
          <w:sz w:val="24"/>
          <w:szCs w:val="24"/>
        </w:rPr>
        <w:t xml:space="preserve">. </w:t>
      </w:r>
      <w:r w:rsidR="003E7A12">
        <w:rPr>
          <w:rFonts w:cs="Times New Roman"/>
          <w:sz w:val="24"/>
          <w:szCs w:val="24"/>
        </w:rPr>
        <w:t xml:space="preserve"> </w:t>
      </w:r>
      <w:r w:rsidRPr="003E7A12">
        <w:rPr>
          <w:rFonts w:cs="Times New Roman"/>
          <w:sz w:val="24"/>
          <w:szCs w:val="24"/>
          <w:highlight w:val="yellow"/>
        </w:rPr>
        <w:t xml:space="preserve">In particolare, </w:t>
      </w:r>
      <w:r w:rsidR="00B54FC8" w:rsidRPr="003E7A12">
        <w:rPr>
          <w:rFonts w:cs="Times New Roman"/>
          <w:sz w:val="24"/>
          <w:szCs w:val="24"/>
          <w:highlight w:val="yellow"/>
        </w:rPr>
        <w:t>è stata effettuata un’analisi che ti</w:t>
      </w:r>
      <w:r w:rsidR="00973519" w:rsidRPr="003E7A12">
        <w:rPr>
          <w:rFonts w:cs="Times New Roman"/>
          <w:sz w:val="24"/>
          <w:szCs w:val="24"/>
          <w:highlight w:val="yellow"/>
        </w:rPr>
        <w:t>ene conto</w:t>
      </w:r>
      <w:r w:rsidR="00B54FC8" w:rsidRPr="003E7A12">
        <w:rPr>
          <w:rFonts w:cs="Times New Roman"/>
          <w:sz w:val="24"/>
          <w:szCs w:val="24"/>
          <w:highlight w:val="yellow"/>
        </w:rPr>
        <w:t xml:space="preserve"> dei </w:t>
      </w:r>
      <w:r w:rsidR="00973519" w:rsidRPr="003E7A12">
        <w:rPr>
          <w:rFonts w:cs="Times New Roman"/>
          <w:sz w:val="24"/>
          <w:szCs w:val="24"/>
          <w:highlight w:val="yellow"/>
        </w:rPr>
        <w:t>costi omnicomprensivi forniti da ENEA relativamente all’</w:t>
      </w:r>
      <w:proofErr w:type="spellStart"/>
      <w:r w:rsidR="00B54FC8" w:rsidRPr="003E7A12">
        <w:rPr>
          <w:rFonts w:cs="Times New Roman"/>
          <w:sz w:val="24"/>
          <w:szCs w:val="24"/>
          <w:highlight w:val="yellow"/>
        </w:rPr>
        <w:t>Ecobonus</w:t>
      </w:r>
      <w:proofErr w:type="spellEnd"/>
      <w:r w:rsidR="00B54FC8" w:rsidRPr="003E7A12">
        <w:rPr>
          <w:rFonts w:cs="Times New Roman"/>
          <w:sz w:val="24"/>
          <w:szCs w:val="24"/>
          <w:highlight w:val="yellow"/>
        </w:rPr>
        <w:t xml:space="preserve"> 2021 </w:t>
      </w:r>
      <w:proofErr w:type="gramStart"/>
      <w:r w:rsidRPr="003E7A12">
        <w:rPr>
          <w:rFonts w:cs="Times New Roman"/>
          <w:sz w:val="24"/>
          <w:szCs w:val="24"/>
          <w:highlight w:val="yellow"/>
        </w:rPr>
        <w:t>( 65</w:t>
      </w:r>
      <w:proofErr w:type="gramEnd"/>
      <w:r w:rsidRPr="003E7A12">
        <w:rPr>
          <w:rFonts w:cs="Times New Roman"/>
          <w:sz w:val="24"/>
          <w:szCs w:val="24"/>
          <w:highlight w:val="yellow"/>
        </w:rPr>
        <w:t xml:space="preserve">% o 50%) </w:t>
      </w:r>
      <w:r w:rsidR="00B54FC8" w:rsidRPr="003E7A12">
        <w:rPr>
          <w:rFonts w:cs="Times New Roman"/>
          <w:sz w:val="24"/>
          <w:szCs w:val="24"/>
          <w:highlight w:val="yellow"/>
        </w:rPr>
        <w:t xml:space="preserve">e </w:t>
      </w:r>
      <w:r w:rsidR="00973519" w:rsidRPr="003E7A12">
        <w:rPr>
          <w:rFonts w:cs="Times New Roman"/>
          <w:sz w:val="24"/>
          <w:szCs w:val="24"/>
          <w:highlight w:val="yellow"/>
        </w:rPr>
        <w:t xml:space="preserve">al </w:t>
      </w:r>
      <w:proofErr w:type="spellStart"/>
      <w:r w:rsidR="00B54FC8" w:rsidRPr="003E7A12">
        <w:rPr>
          <w:rFonts w:cs="Times New Roman"/>
          <w:sz w:val="24"/>
          <w:szCs w:val="24"/>
          <w:highlight w:val="yellow"/>
        </w:rPr>
        <w:t>Superbonus</w:t>
      </w:r>
      <w:proofErr w:type="spellEnd"/>
      <w:r w:rsidR="00B54FC8" w:rsidRPr="003E7A12">
        <w:rPr>
          <w:rFonts w:cs="Times New Roman"/>
          <w:sz w:val="24"/>
          <w:szCs w:val="24"/>
          <w:highlight w:val="yellow"/>
        </w:rPr>
        <w:t xml:space="preserve"> 2021</w:t>
      </w:r>
      <w:r w:rsidRPr="003E7A12">
        <w:rPr>
          <w:rFonts w:cs="Times New Roman"/>
          <w:sz w:val="24"/>
          <w:szCs w:val="24"/>
          <w:highlight w:val="yellow"/>
        </w:rPr>
        <w:t xml:space="preserve"> (110%)</w:t>
      </w:r>
      <w:r w:rsidR="00B54FC8" w:rsidRPr="003E7A12">
        <w:rPr>
          <w:rFonts w:cs="Times New Roman"/>
          <w:sz w:val="24"/>
          <w:szCs w:val="24"/>
          <w:highlight w:val="yellow"/>
        </w:rPr>
        <w:t xml:space="preserve">. </w:t>
      </w:r>
    </w:p>
    <w:p w14:paraId="61260212" w14:textId="74F88CF3" w:rsidR="00685D4F" w:rsidRDefault="00685D4F" w:rsidP="00685D4F">
      <w:pPr>
        <w:pStyle w:val="Paragrafoelenco"/>
        <w:spacing w:line="276" w:lineRule="auto"/>
        <w:ind w:right="21"/>
        <w:rPr>
          <w:rFonts w:cs="Times New Roman"/>
          <w:sz w:val="24"/>
          <w:szCs w:val="24"/>
        </w:rPr>
      </w:pPr>
      <w:r w:rsidRPr="003E7A12">
        <w:rPr>
          <w:rFonts w:cs="Times New Roman"/>
          <w:sz w:val="24"/>
          <w:szCs w:val="24"/>
          <w:highlight w:val="yellow"/>
        </w:rPr>
        <w:t>I</w:t>
      </w:r>
      <w:r w:rsidR="00B54FC8" w:rsidRPr="003E7A12">
        <w:rPr>
          <w:rFonts w:cs="Times New Roman"/>
          <w:sz w:val="24"/>
          <w:szCs w:val="24"/>
          <w:highlight w:val="yellow"/>
        </w:rPr>
        <w:t xml:space="preserve"> </w:t>
      </w:r>
      <w:r w:rsidR="00973519" w:rsidRPr="003E7A12">
        <w:rPr>
          <w:rFonts w:cs="Times New Roman"/>
          <w:sz w:val="24"/>
          <w:szCs w:val="24"/>
          <w:highlight w:val="yellow"/>
        </w:rPr>
        <w:t>costi</w:t>
      </w:r>
      <w:r w:rsidR="00B54FC8" w:rsidRPr="003E7A12">
        <w:rPr>
          <w:rFonts w:cs="Times New Roman"/>
          <w:sz w:val="24"/>
          <w:szCs w:val="24"/>
          <w:highlight w:val="yellow"/>
        </w:rPr>
        <w:t xml:space="preserve"> proposti nell’Allegato </w:t>
      </w:r>
      <w:r w:rsidR="00973519" w:rsidRPr="003E7A12">
        <w:rPr>
          <w:rFonts w:cs="Times New Roman"/>
          <w:sz w:val="24"/>
          <w:szCs w:val="24"/>
          <w:highlight w:val="yellow"/>
        </w:rPr>
        <w:t xml:space="preserve">A </w:t>
      </w:r>
      <w:r w:rsidRPr="003E7A12">
        <w:rPr>
          <w:rFonts w:cs="Times New Roman"/>
          <w:sz w:val="24"/>
          <w:szCs w:val="24"/>
          <w:highlight w:val="yellow"/>
        </w:rPr>
        <w:t>del presente decreto tengono conto</w:t>
      </w:r>
      <w:r w:rsidR="003E7A12" w:rsidRPr="003E7A12">
        <w:rPr>
          <w:rFonts w:cs="Times New Roman"/>
          <w:sz w:val="24"/>
          <w:szCs w:val="24"/>
          <w:highlight w:val="yellow"/>
        </w:rPr>
        <w:t xml:space="preserve"> dei valori registrati nell’ambito delle suddette misure</w:t>
      </w:r>
      <w:r w:rsidR="00B54FC8" w:rsidRPr="003E7A12">
        <w:rPr>
          <w:rFonts w:cs="Times New Roman"/>
          <w:sz w:val="24"/>
          <w:szCs w:val="24"/>
          <w:highlight w:val="yellow"/>
        </w:rPr>
        <w:t xml:space="preserve">, </w:t>
      </w:r>
      <w:r w:rsidRPr="003E7A12">
        <w:rPr>
          <w:rFonts w:cs="Times New Roman"/>
          <w:sz w:val="24"/>
          <w:szCs w:val="24"/>
          <w:highlight w:val="yellow"/>
        </w:rPr>
        <w:t xml:space="preserve">ovvero in maniera residuale </w:t>
      </w:r>
      <w:r w:rsidR="00B54FC8" w:rsidRPr="003E7A12">
        <w:rPr>
          <w:rFonts w:cs="Times New Roman"/>
          <w:sz w:val="24"/>
          <w:szCs w:val="24"/>
          <w:highlight w:val="yellow"/>
        </w:rPr>
        <w:t>a quelli del citato Allegato I qualora i dati non s</w:t>
      </w:r>
      <w:r w:rsidR="00754A7D" w:rsidRPr="003E7A12">
        <w:rPr>
          <w:rFonts w:cs="Times New Roman"/>
          <w:sz w:val="24"/>
          <w:szCs w:val="24"/>
          <w:highlight w:val="yellow"/>
        </w:rPr>
        <w:t>ia</w:t>
      </w:r>
      <w:r w:rsidR="00B54FC8" w:rsidRPr="003E7A12">
        <w:rPr>
          <w:rFonts w:cs="Times New Roman"/>
          <w:sz w:val="24"/>
          <w:szCs w:val="24"/>
          <w:highlight w:val="yellow"/>
        </w:rPr>
        <w:t>no stati rilevati</w:t>
      </w:r>
      <w:r w:rsidR="00754A7D" w:rsidRPr="003E7A12">
        <w:rPr>
          <w:rFonts w:cs="Times New Roman"/>
          <w:sz w:val="24"/>
          <w:szCs w:val="24"/>
          <w:highlight w:val="yellow"/>
        </w:rPr>
        <w:t xml:space="preserve"> o non siano stati ritenuti significativi</w:t>
      </w:r>
      <w:r w:rsidR="00B54FC8" w:rsidRPr="003E7A12">
        <w:rPr>
          <w:rFonts w:cs="Times New Roman"/>
          <w:sz w:val="24"/>
          <w:szCs w:val="24"/>
          <w:highlight w:val="yellow"/>
        </w:rPr>
        <w:t>.</w:t>
      </w:r>
    </w:p>
    <w:p w14:paraId="01150D12" w14:textId="28E11479" w:rsidR="008A1078" w:rsidRDefault="00922785" w:rsidP="008A1078">
      <w:pPr>
        <w:pStyle w:val="Paragrafoelenco"/>
        <w:spacing w:line="276" w:lineRule="auto"/>
        <w:ind w:right="21"/>
        <w:rPr>
          <w:rFonts w:cs="Times New Roman"/>
          <w:sz w:val="24"/>
          <w:szCs w:val="24"/>
        </w:rPr>
      </w:pPr>
      <w:r w:rsidRPr="00754A7D">
        <w:rPr>
          <w:rFonts w:cs="Times New Roman"/>
          <w:sz w:val="24"/>
          <w:szCs w:val="24"/>
        </w:rPr>
        <w:lastRenderedPageBreak/>
        <w:t>Inoltr</w:t>
      </w:r>
      <w:r w:rsidR="00973519" w:rsidRPr="00754A7D">
        <w:rPr>
          <w:rFonts w:cs="Times New Roman"/>
          <w:sz w:val="24"/>
          <w:szCs w:val="24"/>
        </w:rPr>
        <w:t xml:space="preserve">e, </w:t>
      </w:r>
      <w:r w:rsidR="00DE1E4F">
        <w:rPr>
          <w:rFonts w:cs="Times New Roman"/>
          <w:sz w:val="24"/>
          <w:szCs w:val="24"/>
        </w:rPr>
        <w:t xml:space="preserve">per </w:t>
      </w:r>
      <w:r w:rsidR="00973519" w:rsidRPr="00754A7D">
        <w:rPr>
          <w:rFonts w:cs="Times New Roman"/>
          <w:sz w:val="24"/>
          <w:szCs w:val="24"/>
        </w:rPr>
        <w:t xml:space="preserve">tener conto del maggiore spessore del </w:t>
      </w:r>
      <w:r w:rsidRPr="00754A7D">
        <w:rPr>
          <w:rFonts w:cs="Times New Roman"/>
          <w:sz w:val="24"/>
          <w:szCs w:val="24"/>
        </w:rPr>
        <w:t>materiale isolante per gli interventi di isolamento delle superfici opache disperdenti verticali</w:t>
      </w:r>
      <w:r w:rsidR="008F0EBE" w:rsidRPr="00754A7D">
        <w:rPr>
          <w:rFonts w:cs="Times New Roman"/>
          <w:sz w:val="24"/>
          <w:szCs w:val="24"/>
        </w:rPr>
        <w:t xml:space="preserve"> realizzati in zone climatiche fredde, si è proposta una differenziazione di prezzo </w:t>
      </w:r>
      <w:r w:rsidR="00973519" w:rsidRPr="00754A7D">
        <w:rPr>
          <w:rFonts w:cs="Times New Roman"/>
          <w:sz w:val="24"/>
          <w:szCs w:val="24"/>
        </w:rPr>
        <w:t>tra le zone climatiche</w:t>
      </w:r>
      <w:r w:rsidR="00754A7D" w:rsidRPr="00754A7D">
        <w:rPr>
          <w:rFonts w:cs="Times New Roman"/>
          <w:sz w:val="24"/>
          <w:szCs w:val="24"/>
        </w:rPr>
        <w:t xml:space="preserve"> fredde</w:t>
      </w:r>
      <w:r w:rsidR="00973519" w:rsidRPr="00754A7D">
        <w:rPr>
          <w:rFonts w:cs="Times New Roman"/>
          <w:sz w:val="24"/>
          <w:szCs w:val="24"/>
        </w:rPr>
        <w:t xml:space="preserve"> e calde</w:t>
      </w:r>
      <w:r w:rsidR="008F0EBE" w:rsidRPr="00754A7D">
        <w:rPr>
          <w:rFonts w:cs="Times New Roman"/>
          <w:sz w:val="24"/>
          <w:szCs w:val="24"/>
        </w:rPr>
        <w:t xml:space="preserve">, analogamente </w:t>
      </w:r>
      <w:r w:rsidR="00754A7D" w:rsidRPr="00754A7D">
        <w:rPr>
          <w:rFonts w:cs="Times New Roman"/>
          <w:sz w:val="24"/>
          <w:szCs w:val="24"/>
        </w:rPr>
        <w:t>a</w:t>
      </w:r>
      <w:r w:rsidR="008F0EBE" w:rsidRPr="00754A7D">
        <w:rPr>
          <w:rFonts w:cs="Times New Roman"/>
          <w:sz w:val="24"/>
          <w:szCs w:val="24"/>
        </w:rPr>
        <w:t xml:space="preserve"> quanto avviene per gli infissi.</w:t>
      </w:r>
    </w:p>
    <w:p w14:paraId="1EADE7EF" w14:textId="6119DEFF" w:rsidR="00967E92" w:rsidRPr="008A1078" w:rsidRDefault="008F0EBE" w:rsidP="008A1078">
      <w:pPr>
        <w:spacing w:line="276" w:lineRule="auto"/>
        <w:ind w:right="21"/>
        <w:rPr>
          <w:rFonts w:cs="Times New Roman"/>
          <w:sz w:val="24"/>
          <w:szCs w:val="24"/>
        </w:rPr>
      </w:pPr>
      <w:r w:rsidRPr="008A1078">
        <w:rPr>
          <w:rFonts w:cs="Times New Roman"/>
          <w:sz w:val="24"/>
          <w:szCs w:val="24"/>
        </w:rPr>
        <w:t>In generale, rispetto all’</w:t>
      </w:r>
      <w:r w:rsidR="00967E92" w:rsidRPr="008A1078">
        <w:rPr>
          <w:rFonts w:cs="Times New Roman"/>
          <w:sz w:val="24"/>
          <w:szCs w:val="24"/>
        </w:rPr>
        <w:t>Allegato I</w:t>
      </w:r>
      <w:r w:rsidR="00754A7D" w:rsidRPr="008A1078">
        <w:rPr>
          <w:rFonts w:cs="Times New Roman"/>
          <w:sz w:val="24"/>
          <w:szCs w:val="24"/>
        </w:rPr>
        <w:t xml:space="preserve"> vigente</w:t>
      </w:r>
      <w:r w:rsidR="00BB14D4">
        <w:rPr>
          <w:rFonts w:cs="Times New Roman"/>
          <w:sz w:val="24"/>
          <w:szCs w:val="24"/>
        </w:rPr>
        <w:t xml:space="preserve"> e alla </w:t>
      </w:r>
      <w:r w:rsidR="00BB14D4" w:rsidRPr="00BB14D4">
        <w:rPr>
          <w:rFonts w:cs="Times New Roman"/>
          <w:i/>
          <w:sz w:val="24"/>
          <w:szCs w:val="24"/>
        </w:rPr>
        <w:t xml:space="preserve">best </w:t>
      </w:r>
      <w:proofErr w:type="spellStart"/>
      <w:r w:rsidR="00BB14D4" w:rsidRPr="00BB14D4">
        <w:rPr>
          <w:rFonts w:cs="Times New Roman"/>
          <w:i/>
          <w:sz w:val="24"/>
          <w:szCs w:val="24"/>
        </w:rPr>
        <w:t>practice</w:t>
      </w:r>
      <w:proofErr w:type="spellEnd"/>
      <w:r w:rsidR="00BB14D4">
        <w:rPr>
          <w:rFonts w:cs="Times New Roman"/>
          <w:sz w:val="24"/>
          <w:szCs w:val="24"/>
        </w:rPr>
        <w:t xml:space="preserve"> costituita dal più “consolidato” </w:t>
      </w:r>
      <w:proofErr w:type="spellStart"/>
      <w:r w:rsidR="00BB14D4">
        <w:rPr>
          <w:rFonts w:cs="Times New Roman"/>
          <w:sz w:val="24"/>
          <w:szCs w:val="24"/>
        </w:rPr>
        <w:t>Ecobonus</w:t>
      </w:r>
      <w:proofErr w:type="spellEnd"/>
      <w:r w:rsidR="00754A7D" w:rsidRPr="008A1078">
        <w:rPr>
          <w:rFonts w:cs="Times New Roman"/>
          <w:sz w:val="24"/>
          <w:szCs w:val="24"/>
        </w:rPr>
        <w:t xml:space="preserve">, gli incrementi dei costi specifici proposti appaiono </w:t>
      </w:r>
      <w:r w:rsidR="00BB14D4">
        <w:rPr>
          <w:rFonts w:cs="Times New Roman"/>
          <w:sz w:val="24"/>
          <w:szCs w:val="24"/>
        </w:rPr>
        <w:t>correlabili all</w:t>
      </w:r>
      <w:r w:rsidR="008A1078">
        <w:rPr>
          <w:rFonts w:cs="Times New Roman"/>
          <w:sz w:val="24"/>
          <w:szCs w:val="24"/>
        </w:rPr>
        <w:t>’</w:t>
      </w:r>
      <w:r w:rsidR="00754A7D" w:rsidRPr="008A1078">
        <w:rPr>
          <w:rFonts w:cs="Times New Roman"/>
          <w:sz w:val="24"/>
          <w:szCs w:val="24"/>
        </w:rPr>
        <w:t xml:space="preserve">aumento dei prezzi delle materie prime e </w:t>
      </w:r>
      <w:r w:rsidR="00BB14D4">
        <w:rPr>
          <w:rFonts w:cs="Times New Roman"/>
          <w:sz w:val="24"/>
          <w:szCs w:val="24"/>
        </w:rPr>
        <w:t>all’</w:t>
      </w:r>
      <w:bookmarkStart w:id="0" w:name="_GoBack"/>
      <w:bookmarkEnd w:id="0"/>
      <w:r w:rsidR="00754A7D" w:rsidRPr="008A1078">
        <w:rPr>
          <w:rFonts w:cs="Times New Roman"/>
          <w:sz w:val="24"/>
          <w:szCs w:val="24"/>
        </w:rPr>
        <w:t>eterogeneità, in termini di complessità realizzativa, delle lavorazioni possibili.</w:t>
      </w:r>
    </w:p>
    <w:p w14:paraId="0A348745" w14:textId="5B10B8F8" w:rsidR="00973519" w:rsidRDefault="00973519" w:rsidP="005D7F7E">
      <w:pPr>
        <w:spacing w:line="276" w:lineRule="auto"/>
        <w:ind w:right="21"/>
        <w:rPr>
          <w:rFonts w:cs="Times New Roman"/>
          <w:sz w:val="24"/>
          <w:szCs w:val="24"/>
        </w:rPr>
      </w:pPr>
      <w:r w:rsidRPr="00754A7D">
        <w:rPr>
          <w:rFonts w:cs="Times New Roman"/>
          <w:sz w:val="24"/>
          <w:szCs w:val="24"/>
        </w:rPr>
        <w:t xml:space="preserve">Nelle tabelle seguenti sono messi a confronto i costi dell’Allegato I, quelli Superbonus 2021, quelli Ecobonus 2021 e </w:t>
      </w:r>
      <w:r w:rsidR="00754A7D" w:rsidRPr="00754A7D">
        <w:rPr>
          <w:rFonts w:cs="Times New Roman"/>
          <w:sz w:val="24"/>
          <w:szCs w:val="24"/>
        </w:rPr>
        <w:t>quelli del</w:t>
      </w:r>
      <w:r w:rsidRPr="00754A7D">
        <w:rPr>
          <w:rFonts w:cs="Times New Roman"/>
          <w:sz w:val="24"/>
          <w:szCs w:val="24"/>
        </w:rPr>
        <w:t>l’Allegato A</w:t>
      </w:r>
      <w:r w:rsidR="00754A7D" w:rsidRPr="00754A7D">
        <w:rPr>
          <w:rFonts w:cs="Times New Roman"/>
          <w:sz w:val="24"/>
          <w:szCs w:val="24"/>
        </w:rPr>
        <w:t xml:space="preserve"> proposto nello schema in discussione</w:t>
      </w:r>
      <w:r w:rsidRPr="00754A7D">
        <w:rPr>
          <w:rFonts w:cs="Times New Roman"/>
          <w:sz w:val="24"/>
          <w:szCs w:val="24"/>
        </w:rPr>
        <w:t xml:space="preserve">. Inoltre, </w:t>
      </w:r>
      <w:r w:rsidR="00754A7D" w:rsidRPr="00754A7D">
        <w:rPr>
          <w:rFonts w:cs="Times New Roman"/>
          <w:sz w:val="24"/>
          <w:szCs w:val="24"/>
        </w:rPr>
        <w:t>sono</w:t>
      </w:r>
      <w:r w:rsidRPr="00754A7D">
        <w:rPr>
          <w:rFonts w:cs="Times New Roman"/>
          <w:sz w:val="24"/>
          <w:szCs w:val="24"/>
        </w:rPr>
        <w:t xml:space="preserve"> evidenzia</w:t>
      </w:r>
      <w:r w:rsidR="00754A7D" w:rsidRPr="00754A7D">
        <w:rPr>
          <w:rFonts w:cs="Times New Roman"/>
          <w:sz w:val="24"/>
          <w:szCs w:val="24"/>
        </w:rPr>
        <w:t>te</w:t>
      </w:r>
      <w:r w:rsidR="00DE1E4F">
        <w:rPr>
          <w:rFonts w:cs="Times New Roman"/>
          <w:sz w:val="24"/>
          <w:szCs w:val="24"/>
        </w:rPr>
        <w:t xml:space="preserve"> le variazioni percentuali</w:t>
      </w:r>
      <w:r w:rsidRPr="00754A7D">
        <w:rPr>
          <w:rFonts w:cs="Times New Roman"/>
          <w:sz w:val="24"/>
          <w:szCs w:val="24"/>
        </w:rPr>
        <w:t xml:space="preserve"> di prezzo tra i costi dell’Allegato I</w:t>
      </w:r>
      <w:r w:rsidR="00754A7D" w:rsidRPr="00754A7D">
        <w:rPr>
          <w:rFonts w:cs="Times New Roman"/>
          <w:sz w:val="24"/>
          <w:szCs w:val="24"/>
        </w:rPr>
        <w:t xml:space="preserve"> vigente</w:t>
      </w:r>
      <w:r w:rsidRPr="00754A7D">
        <w:rPr>
          <w:rFonts w:cs="Times New Roman"/>
          <w:sz w:val="24"/>
          <w:szCs w:val="24"/>
        </w:rPr>
        <w:t xml:space="preserve"> e quelli dell’Allegato A</w:t>
      </w:r>
      <w:r w:rsidR="00754A7D" w:rsidRPr="00754A7D">
        <w:rPr>
          <w:rFonts w:cs="Times New Roman"/>
          <w:sz w:val="24"/>
          <w:szCs w:val="24"/>
        </w:rPr>
        <w:t xml:space="preserve"> proposto</w:t>
      </w:r>
      <w:r w:rsidRPr="00754A7D">
        <w:rPr>
          <w:rFonts w:cs="Times New Roman"/>
          <w:sz w:val="24"/>
          <w:szCs w:val="24"/>
        </w:rPr>
        <w:t>.</w:t>
      </w:r>
    </w:p>
    <w:p w14:paraId="7F174C87" w14:textId="77777777" w:rsidR="003E7A12" w:rsidRDefault="003E7A12" w:rsidP="005D7F7E">
      <w:pPr>
        <w:spacing w:line="276" w:lineRule="auto"/>
        <w:ind w:right="21"/>
      </w:pPr>
    </w:p>
    <w:p w14:paraId="2B94FBEE" w14:textId="3A9A7273" w:rsidR="003E7A12" w:rsidRDefault="00E32B68" w:rsidP="005D7F7E">
      <w:pPr>
        <w:spacing w:line="276" w:lineRule="auto"/>
        <w:ind w:right="21"/>
        <w:rPr>
          <w:rFonts w:cs="Times New Roman"/>
          <w:sz w:val="24"/>
          <w:szCs w:val="24"/>
        </w:rPr>
      </w:pPr>
      <w:r w:rsidRPr="00E32B68">
        <w:rPr>
          <w:noProof/>
          <w:lang w:eastAsia="it-IT"/>
        </w:rPr>
        <w:drawing>
          <wp:inline distT="0" distB="0" distL="0" distR="0" wp14:anchorId="23A62276" wp14:editId="4A9170FC">
            <wp:extent cx="6120130" cy="50957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095785"/>
                    </a:xfrm>
                    <a:prstGeom prst="rect">
                      <a:avLst/>
                    </a:prstGeom>
                    <a:noFill/>
                    <a:ln>
                      <a:noFill/>
                    </a:ln>
                  </pic:spPr>
                </pic:pic>
              </a:graphicData>
            </a:graphic>
          </wp:inline>
        </w:drawing>
      </w:r>
    </w:p>
    <w:p w14:paraId="3F753A62" w14:textId="03A19FBB" w:rsidR="003E7A12" w:rsidRDefault="003E7A12" w:rsidP="005D7F7E">
      <w:pPr>
        <w:spacing w:line="276" w:lineRule="auto"/>
        <w:ind w:right="21"/>
        <w:rPr>
          <w:rFonts w:cs="Times New Roman"/>
          <w:sz w:val="24"/>
          <w:szCs w:val="24"/>
        </w:rPr>
      </w:pPr>
    </w:p>
    <w:p w14:paraId="6A798CE4" w14:textId="2CDE51B6" w:rsidR="003E7A12" w:rsidRDefault="00E32B68" w:rsidP="005D7F7E">
      <w:pPr>
        <w:spacing w:line="276" w:lineRule="auto"/>
        <w:ind w:right="21"/>
        <w:rPr>
          <w:rFonts w:cs="Times New Roman"/>
          <w:sz w:val="24"/>
          <w:szCs w:val="24"/>
        </w:rPr>
      </w:pPr>
      <w:r w:rsidRPr="00E32B68">
        <w:rPr>
          <w:noProof/>
          <w:lang w:eastAsia="it-IT"/>
        </w:rPr>
        <w:lastRenderedPageBreak/>
        <w:drawing>
          <wp:inline distT="0" distB="0" distL="0" distR="0" wp14:anchorId="19ED039A" wp14:editId="482EC652">
            <wp:extent cx="6120130" cy="5233144"/>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233144"/>
                    </a:xfrm>
                    <a:prstGeom prst="rect">
                      <a:avLst/>
                    </a:prstGeom>
                    <a:noFill/>
                    <a:ln>
                      <a:noFill/>
                    </a:ln>
                  </pic:spPr>
                </pic:pic>
              </a:graphicData>
            </a:graphic>
          </wp:inline>
        </w:drawing>
      </w:r>
    </w:p>
    <w:p w14:paraId="43B0BAA9" w14:textId="433209E5" w:rsidR="00E55BF6" w:rsidRDefault="00E55BF6" w:rsidP="005D7F7E">
      <w:pPr>
        <w:spacing w:line="276" w:lineRule="auto"/>
        <w:ind w:right="21"/>
        <w:rPr>
          <w:rFonts w:cs="Times New Roman"/>
          <w:sz w:val="24"/>
          <w:szCs w:val="24"/>
        </w:rPr>
      </w:pPr>
    </w:p>
    <w:p w14:paraId="71B27F03" w14:textId="36622076" w:rsidR="00E55BF6" w:rsidRDefault="00E55BF6" w:rsidP="005D7F7E">
      <w:pPr>
        <w:spacing w:line="276" w:lineRule="auto"/>
        <w:ind w:right="21"/>
        <w:rPr>
          <w:rFonts w:cs="Times New Roman"/>
          <w:sz w:val="24"/>
          <w:szCs w:val="24"/>
        </w:rPr>
      </w:pPr>
    </w:p>
    <w:sectPr w:rsidR="00E55BF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4A77" w14:textId="77777777" w:rsidR="00274F42" w:rsidRDefault="00274F42" w:rsidP="00317752">
      <w:pPr>
        <w:spacing w:after="0" w:line="240" w:lineRule="auto"/>
      </w:pPr>
      <w:r>
        <w:separator/>
      </w:r>
    </w:p>
  </w:endnote>
  <w:endnote w:type="continuationSeparator" w:id="0">
    <w:p w14:paraId="52D5CFEB" w14:textId="77777777" w:rsidR="00274F42" w:rsidRDefault="00274F42" w:rsidP="0031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43111"/>
      <w:docPartObj>
        <w:docPartGallery w:val="Page Numbers (Bottom of Page)"/>
        <w:docPartUnique/>
      </w:docPartObj>
    </w:sdtPr>
    <w:sdtEndPr/>
    <w:sdtContent>
      <w:sdt>
        <w:sdtPr>
          <w:id w:val="-1769616900"/>
          <w:docPartObj>
            <w:docPartGallery w:val="Page Numbers (Top of Page)"/>
            <w:docPartUnique/>
          </w:docPartObj>
        </w:sdtPr>
        <w:sdtEndPr/>
        <w:sdtContent>
          <w:p w14:paraId="797A8881" w14:textId="30250A37" w:rsidR="00317752" w:rsidRDefault="00317752" w:rsidP="00317752">
            <w:pPr>
              <w:pStyle w:val="Pidipagina"/>
              <w:pBdr>
                <w:top w:val="single" w:sz="4" w:space="1" w:color="auto"/>
              </w:pBdr>
              <w:jc w:val="right"/>
            </w:pPr>
            <w:r>
              <w:t xml:space="preserve">Pag. </w:t>
            </w:r>
            <w:r>
              <w:rPr>
                <w:b/>
                <w:bCs/>
                <w:sz w:val="24"/>
                <w:szCs w:val="24"/>
              </w:rPr>
              <w:fldChar w:fldCharType="begin"/>
            </w:r>
            <w:r>
              <w:rPr>
                <w:b/>
                <w:bCs/>
              </w:rPr>
              <w:instrText>PAGE</w:instrText>
            </w:r>
            <w:r>
              <w:rPr>
                <w:b/>
                <w:bCs/>
                <w:sz w:val="24"/>
                <w:szCs w:val="24"/>
              </w:rPr>
              <w:fldChar w:fldCharType="separate"/>
            </w:r>
            <w:r w:rsidR="00BB14D4">
              <w:rPr>
                <w:b/>
                <w:bCs/>
                <w:noProof/>
              </w:rPr>
              <w:t>4</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BB14D4">
              <w:rPr>
                <w:b/>
                <w:bCs/>
                <w:noProof/>
              </w:rPr>
              <w:t>4</w:t>
            </w:r>
            <w:r>
              <w:rPr>
                <w:b/>
                <w:bCs/>
                <w:sz w:val="24"/>
                <w:szCs w:val="24"/>
              </w:rPr>
              <w:fldChar w:fldCharType="end"/>
            </w:r>
          </w:p>
        </w:sdtContent>
      </w:sdt>
    </w:sdtContent>
  </w:sdt>
  <w:p w14:paraId="6CD3ABAE" w14:textId="77777777" w:rsidR="00317752" w:rsidRDefault="003177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9344" w14:textId="77777777" w:rsidR="00274F42" w:rsidRDefault="00274F42" w:rsidP="00317752">
      <w:pPr>
        <w:spacing w:after="0" w:line="240" w:lineRule="auto"/>
      </w:pPr>
      <w:r>
        <w:separator/>
      </w:r>
    </w:p>
  </w:footnote>
  <w:footnote w:type="continuationSeparator" w:id="0">
    <w:p w14:paraId="0C3A081F" w14:textId="77777777" w:rsidR="00274F42" w:rsidRDefault="00274F42" w:rsidP="00317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4002" w14:textId="77777777" w:rsidR="00B60D26" w:rsidRDefault="00B60D26" w:rsidP="00B60D26">
    <w:pPr>
      <w:pStyle w:val="Intestazione"/>
      <w:jc w:val="center"/>
    </w:pPr>
    <w:r>
      <w:object w:dxaOrig="795" w:dyaOrig="838" w14:anchorId="7428C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42pt" filled="t">
          <v:fill color2="black"/>
          <v:imagedata r:id="rId1" o:title=""/>
        </v:shape>
        <o:OLEObject Type="Embed" ProgID="MSDraw" ShapeID="_x0000_i1025" DrawAspect="Content" ObjectID="_1705848989" r:id="rId2"/>
      </w:object>
    </w:r>
    <w:r w:rsidR="000B63CD">
      <w:t xml:space="preserve"> </w:t>
    </w:r>
  </w:p>
  <w:p w14:paraId="6B8C2D8B" w14:textId="77777777" w:rsidR="00B60D26" w:rsidRDefault="00B60D26" w:rsidP="00B60D2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D90"/>
    <w:multiLevelType w:val="hybridMultilevel"/>
    <w:tmpl w:val="2BCC8D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17D78"/>
    <w:multiLevelType w:val="hybridMultilevel"/>
    <w:tmpl w:val="6C963B00"/>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33E2A"/>
    <w:multiLevelType w:val="hybridMultilevel"/>
    <w:tmpl w:val="0A9A184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9361A"/>
    <w:multiLevelType w:val="hybridMultilevel"/>
    <w:tmpl w:val="91945D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6276D0"/>
    <w:multiLevelType w:val="hybridMultilevel"/>
    <w:tmpl w:val="1458F5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41ABD"/>
    <w:multiLevelType w:val="hybridMultilevel"/>
    <w:tmpl w:val="E33C32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737150"/>
    <w:multiLevelType w:val="hybridMultilevel"/>
    <w:tmpl w:val="7400A5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25695B"/>
    <w:multiLevelType w:val="hybridMultilevel"/>
    <w:tmpl w:val="0A06D0AC"/>
    <w:lvl w:ilvl="0" w:tplc="04100017">
      <w:start w:val="1"/>
      <w:numFmt w:val="lowerLetter"/>
      <w:lvlText w:val="%1)"/>
      <w:lvlJc w:val="left"/>
      <w:pPr>
        <w:ind w:left="1506" w:hanging="360"/>
      </w:pPr>
    </w:lvl>
    <w:lvl w:ilvl="1" w:tplc="0410001B">
      <w:start w:val="1"/>
      <w:numFmt w:val="lowerRoman"/>
      <w:lvlText w:val="%2."/>
      <w:lvlJc w:val="righ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8" w15:restartNumberingAfterBreak="0">
    <w:nsid w:val="26413E20"/>
    <w:multiLevelType w:val="hybridMultilevel"/>
    <w:tmpl w:val="26C809A8"/>
    <w:lvl w:ilvl="0" w:tplc="1C30DBA2">
      <w:start w:val="1"/>
      <w:numFmt w:val="bullet"/>
      <w:lvlText w:val="-"/>
      <w:lvlJc w:val="left"/>
      <w:pPr>
        <w:ind w:left="720" w:hanging="360"/>
      </w:pPr>
      <w:rPr>
        <w:rFonts w:ascii="Calibri Light" w:eastAsiaTheme="majorEastAsi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A53150"/>
    <w:multiLevelType w:val="hybridMultilevel"/>
    <w:tmpl w:val="FE5CBBEC"/>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6240E6"/>
    <w:multiLevelType w:val="hybridMultilevel"/>
    <w:tmpl w:val="007AC2E4"/>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378D4AFE"/>
    <w:multiLevelType w:val="hybridMultilevel"/>
    <w:tmpl w:val="62F4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AF5D90"/>
    <w:multiLevelType w:val="hybridMultilevel"/>
    <w:tmpl w:val="373C8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C4B96"/>
    <w:multiLevelType w:val="hybridMultilevel"/>
    <w:tmpl w:val="E452BCB4"/>
    <w:lvl w:ilvl="0" w:tplc="04100017">
      <w:start w:val="1"/>
      <w:numFmt w:val="lowerLetter"/>
      <w:lvlText w:val="%1)"/>
      <w:lvlJc w:val="left"/>
      <w:pPr>
        <w:ind w:left="2586" w:hanging="360"/>
      </w:pPr>
    </w:lvl>
    <w:lvl w:ilvl="1" w:tplc="04100019" w:tentative="1">
      <w:start w:val="1"/>
      <w:numFmt w:val="lowerLetter"/>
      <w:lvlText w:val="%2."/>
      <w:lvlJc w:val="left"/>
      <w:pPr>
        <w:ind w:left="3306" w:hanging="360"/>
      </w:pPr>
    </w:lvl>
    <w:lvl w:ilvl="2" w:tplc="0410001B" w:tentative="1">
      <w:start w:val="1"/>
      <w:numFmt w:val="lowerRoman"/>
      <w:lvlText w:val="%3."/>
      <w:lvlJc w:val="right"/>
      <w:pPr>
        <w:ind w:left="4026" w:hanging="180"/>
      </w:pPr>
    </w:lvl>
    <w:lvl w:ilvl="3" w:tplc="0410000F" w:tentative="1">
      <w:start w:val="1"/>
      <w:numFmt w:val="decimal"/>
      <w:lvlText w:val="%4."/>
      <w:lvlJc w:val="left"/>
      <w:pPr>
        <w:ind w:left="4746" w:hanging="360"/>
      </w:pPr>
    </w:lvl>
    <w:lvl w:ilvl="4" w:tplc="04100019" w:tentative="1">
      <w:start w:val="1"/>
      <w:numFmt w:val="lowerLetter"/>
      <w:lvlText w:val="%5."/>
      <w:lvlJc w:val="left"/>
      <w:pPr>
        <w:ind w:left="5466" w:hanging="360"/>
      </w:pPr>
    </w:lvl>
    <w:lvl w:ilvl="5" w:tplc="0410001B" w:tentative="1">
      <w:start w:val="1"/>
      <w:numFmt w:val="lowerRoman"/>
      <w:lvlText w:val="%6."/>
      <w:lvlJc w:val="right"/>
      <w:pPr>
        <w:ind w:left="6186" w:hanging="180"/>
      </w:pPr>
    </w:lvl>
    <w:lvl w:ilvl="6" w:tplc="0410000F" w:tentative="1">
      <w:start w:val="1"/>
      <w:numFmt w:val="decimal"/>
      <w:lvlText w:val="%7."/>
      <w:lvlJc w:val="left"/>
      <w:pPr>
        <w:ind w:left="6906" w:hanging="360"/>
      </w:pPr>
    </w:lvl>
    <w:lvl w:ilvl="7" w:tplc="04100019" w:tentative="1">
      <w:start w:val="1"/>
      <w:numFmt w:val="lowerLetter"/>
      <w:lvlText w:val="%8."/>
      <w:lvlJc w:val="left"/>
      <w:pPr>
        <w:ind w:left="7626" w:hanging="360"/>
      </w:pPr>
    </w:lvl>
    <w:lvl w:ilvl="8" w:tplc="0410001B" w:tentative="1">
      <w:start w:val="1"/>
      <w:numFmt w:val="lowerRoman"/>
      <w:lvlText w:val="%9."/>
      <w:lvlJc w:val="right"/>
      <w:pPr>
        <w:ind w:left="8346" w:hanging="180"/>
      </w:pPr>
    </w:lvl>
  </w:abstractNum>
  <w:abstractNum w:abstractNumId="14" w15:restartNumberingAfterBreak="0">
    <w:nsid w:val="4AB96FD9"/>
    <w:multiLevelType w:val="hybridMultilevel"/>
    <w:tmpl w:val="547EB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9249DA"/>
    <w:multiLevelType w:val="hybridMultilevel"/>
    <w:tmpl w:val="D97038B8"/>
    <w:lvl w:ilvl="0" w:tplc="3828D51A">
      <w:numFmt w:val="bullet"/>
      <w:lvlText w:val="•"/>
      <w:lvlJc w:val="left"/>
      <w:pPr>
        <w:ind w:left="1068" w:hanging="708"/>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BB7B17"/>
    <w:multiLevelType w:val="hybridMultilevel"/>
    <w:tmpl w:val="B9A808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CE59F3"/>
    <w:multiLevelType w:val="hybridMultilevel"/>
    <w:tmpl w:val="0AACBAAA"/>
    <w:lvl w:ilvl="0" w:tplc="0410001B">
      <w:start w:val="1"/>
      <w:numFmt w:val="lowerRoman"/>
      <w:lvlText w:val="%1."/>
      <w:lvlJc w:val="right"/>
      <w:pPr>
        <w:ind w:left="1776" w:hanging="360"/>
      </w:pPr>
    </w:lvl>
    <w:lvl w:ilvl="1" w:tplc="0410001B">
      <w:start w:val="1"/>
      <w:numFmt w:val="lowerRoman"/>
      <w:lvlText w:val="%2."/>
      <w:lvlJc w:val="righ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15:restartNumberingAfterBreak="0">
    <w:nsid w:val="63481CB9"/>
    <w:multiLevelType w:val="hybridMultilevel"/>
    <w:tmpl w:val="3022F4D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2E7555"/>
    <w:multiLevelType w:val="hybridMultilevel"/>
    <w:tmpl w:val="3F84353E"/>
    <w:lvl w:ilvl="0" w:tplc="8890731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FBB19EF"/>
    <w:multiLevelType w:val="hybridMultilevel"/>
    <w:tmpl w:val="5B66C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DC2F72"/>
    <w:multiLevelType w:val="hybridMultilevel"/>
    <w:tmpl w:val="A94C7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4"/>
  </w:num>
  <w:num w:numId="4">
    <w:abstractNumId w:val="19"/>
  </w:num>
  <w:num w:numId="5">
    <w:abstractNumId w:val="6"/>
  </w:num>
  <w:num w:numId="6">
    <w:abstractNumId w:val="0"/>
  </w:num>
  <w:num w:numId="7">
    <w:abstractNumId w:val="16"/>
  </w:num>
  <w:num w:numId="8">
    <w:abstractNumId w:val="21"/>
  </w:num>
  <w:num w:numId="9">
    <w:abstractNumId w:val="3"/>
  </w:num>
  <w:num w:numId="10">
    <w:abstractNumId w:val="2"/>
  </w:num>
  <w:num w:numId="11">
    <w:abstractNumId w:val="9"/>
  </w:num>
  <w:num w:numId="12">
    <w:abstractNumId w:val="20"/>
  </w:num>
  <w:num w:numId="13">
    <w:abstractNumId w:val="15"/>
  </w:num>
  <w:num w:numId="14">
    <w:abstractNumId w:val="13"/>
  </w:num>
  <w:num w:numId="15">
    <w:abstractNumId w:val="10"/>
  </w:num>
  <w:num w:numId="16">
    <w:abstractNumId w:val="7"/>
  </w:num>
  <w:num w:numId="17">
    <w:abstractNumId w:val="17"/>
  </w:num>
  <w:num w:numId="18">
    <w:abstractNumId w:val="12"/>
  </w:num>
  <w:num w:numId="19">
    <w:abstractNumId w:val="5"/>
  </w:num>
  <w:num w:numId="20">
    <w:abstractNumId w:val="1"/>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8"/>
    <w:rsid w:val="00015192"/>
    <w:rsid w:val="000333EA"/>
    <w:rsid w:val="00036EC9"/>
    <w:rsid w:val="0004571A"/>
    <w:rsid w:val="000518A3"/>
    <w:rsid w:val="000B5EA1"/>
    <w:rsid w:val="000B63CD"/>
    <w:rsid w:val="000D0366"/>
    <w:rsid w:val="001057A5"/>
    <w:rsid w:val="0010665A"/>
    <w:rsid w:val="00107E96"/>
    <w:rsid w:val="00112BBD"/>
    <w:rsid w:val="00173649"/>
    <w:rsid w:val="001805C0"/>
    <w:rsid w:val="00192CC0"/>
    <w:rsid w:val="001D0E00"/>
    <w:rsid w:val="001D0F08"/>
    <w:rsid w:val="001E41CA"/>
    <w:rsid w:val="00200C01"/>
    <w:rsid w:val="0021502C"/>
    <w:rsid w:val="0023181E"/>
    <w:rsid w:val="00235250"/>
    <w:rsid w:val="0024080A"/>
    <w:rsid w:val="00243742"/>
    <w:rsid w:val="00274F42"/>
    <w:rsid w:val="0028306C"/>
    <w:rsid w:val="002B2FBB"/>
    <w:rsid w:val="002C6FA9"/>
    <w:rsid w:val="002D3F3F"/>
    <w:rsid w:val="002F73AB"/>
    <w:rsid w:val="00317752"/>
    <w:rsid w:val="003245D3"/>
    <w:rsid w:val="003967CA"/>
    <w:rsid w:val="003A24E2"/>
    <w:rsid w:val="003B1282"/>
    <w:rsid w:val="003B6BDA"/>
    <w:rsid w:val="003B6C99"/>
    <w:rsid w:val="003C0548"/>
    <w:rsid w:val="003C0926"/>
    <w:rsid w:val="003D2045"/>
    <w:rsid w:val="003E7A12"/>
    <w:rsid w:val="003F6798"/>
    <w:rsid w:val="003F6A17"/>
    <w:rsid w:val="00412B0D"/>
    <w:rsid w:val="00423E2C"/>
    <w:rsid w:val="00432758"/>
    <w:rsid w:val="00436E9A"/>
    <w:rsid w:val="004955EE"/>
    <w:rsid w:val="004C21C6"/>
    <w:rsid w:val="004E4204"/>
    <w:rsid w:val="00507DDB"/>
    <w:rsid w:val="00531B8F"/>
    <w:rsid w:val="005423B0"/>
    <w:rsid w:val="00584DF6"/>
    <w:rsid w:val="00587065"/>
    <w:rsid w:val="005A2DCB"/>
    <w:rsid w:val="005D7F7E"/>
    <w:rsid w:val="005E5B15"/>
    <w:rsid w:val="006375BC"/>
    <w:rsid w:val="00642119"/>
    <w:rsid w:val="006500F8"/>
    <w:rsid w:val="00680C5A"/>
    <w:rsid w:val="00681B11"/>
    <w:rsid w:val="0068561F"/>
    <w:rsid w:val="00685D4F"/>
    <w:rsid w:val="00694C1C"/>
    <w:rsid w:val="006D3BD6"/>
    <w:rsid w:val="006F3683"/>
    <w:rsid w:val="00711752"/>
    <w:rsid w:val="00754A7D"/>
    <w:rsid w:val="00776C7F"/>
    <w:rsid w:val="007A7E3F"/>
    <w:rsid w:val="007B5362"/>
    <w:rsid w:val="007C3F8B"/>
    <w:rsid w:val="00814088"/>
    <w:rsid w:val="00832482"/>
    <w:rsid w:val="00847409"/>
    <w:rsid w:val="00857435"/>
    <w:rsid w:val="00857AE1"/>
    <w:rsid w:val="00866C5B"/>
    <w:rsid w:val="008677DC"/>
    <w:rsid w:val="00892115"/>
    <w:rsid w:val="008A0809"/>
    <w:rsid w:val="008A1078"/>
    <w:rsid w:val="008B3A75"/>
    <w:rsid w:val="008B6D36"/>
    <w:rsid w:val="008F0EBE"/>
    <w:rsid w:val="008F2270"/>
    <w:rsid w:val="008F34FC"/>
    <w:rsid w:val="00922785"/>
    <w:rsid w:val="009362C2"/>
    <w:rsid w:val="009509C9"/>
    <w:rsid w:val="00967E92"/>
    <w:rsid w:val="00973519"/>
    <w:rsid w:val="00991209"/>
    <w:rsid w:val="00997836"/>
    <w:rsid w:val="00A00595"/>
    <w:rsid w:val="00A166FF"/>
    <w:rsid w:val="00A332B5"/>
    <w:rsid w:val="00A83655"/>
    <w:rsid w:val="00A97CBC"/>
    <w:rsid w:val="00AA2A38"/>
    <w:rsid w:val="00AD37EF"/>
    <w:rsid w:val="00AD4FFE"/>
    <w:rsid w:val="00B04332"/>
    <w:rsid w:val="00B04A44"/>
    <w:rsid w:val="00B172AD"/>
    <w:rsid w:val="00B22375"/>
    <w:rsid w:val="00B54FC8"/>
    <w:rsid w:val="00B60D26"/>
    <w:rsid w:val="00B84185"/>
    <w:rsid w:val="00BB14D4"/>
    <w:rsid w:val="00BC765D"/>
    <w:rsid w:val="00BC7C97"/>
    <w:rsid w:val="00BD0F66"/>
    <w:rsid w:val="00BE235A"/>
    <w:rsid w:val="00C101BF"/>
    <w:rsid w:val="00C2009C"/>
    <w:rsid w:val="00C23BD4"/>
    <w:rsid w:val="00C31E34"/>
    <w:rsid w:val="00C33C47"/>
    <w:rsid w:val="00C441EC"/>
    <w:rsid w:val="00CC1C07"/>
    <w:rsid w:val="00CD08DD"/>
    <w:rsid w:val="00D04BA9"/>
    <w:rsid w:val="00D253C7"/>
    <w:rsid w:val="00D4372D"/>
    <w:rsid w:val="00D518B5"/>
    <w:rsid w:val="00D8462D"/>
    <w:rsid w:val="00DA57E8"/>
    <w:rsid w:val="00DE1448"/>
    <w:rsid w:val="00DE1E4F"/>
    <w:rsid w:val="00DF3043"/>
    <w:rsid w:val="00E23A5F"/>
    <w:rsid w:val="00E32B68"/>
    <w:rsid w:val="00E412DD"/>
    <w:rsid w:val="00E55BF6"/>
    <w:rsid w:val="00E9566F"/>
    <w:rsid w:val="00EA1E56"/>
    <w:rsid w:val="00EA2CA8"/>
    <w:rsid w:val="00EB0029"/>
    <w:rsid w:val="00EB33A8"/>
    <w:rsid w:val="00F14C8E"/>
    <w:rsid w:val="00F16F5A"/>
    <w:rsid w:val="00F26776"/>
    <w:rsid w:val="00F3536C"/>
    <w:rsid w:val="00F4127D"/>
    <w:rsid w:val="00F518D8"/>
    <w:rsid w:val="00F65354"/>
    <w:rsid w:val="00F9361E"/>
    <w:rsid w:val="00FA1903"/>
    <w:rsid w:val="00FB54A4"/>
    <w:rsid w:val="00FE09CB"/>
    <w:rsid w:val="00FF5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F2537"/>
  <w15:docId w15:val="{D029347F-FAF9-4EAD-9876-7B4259D0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2C2"/>
    <w:pPr>
      <w:spacing w:after="60" w:line="264" w:lineRule="auto"/>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3B1282"/>
    <w:pPr>
      <w:ind w:left="720"/>
      <w:contextualSpacing/>
    </w:pPr>
  </w:style>
  <w:style w:type="paragraph" w:styleId="Didascalia">
    <w:name w:val="caption"/>
    <w:basedOn w:val="Normale"/>
    <w:next w:val="Normale"/>
    <w:uiPriority w:val="35"/>
    <w:unhideWhenUsed/>
    <w:qFormat/>
    <w:rsid w:val="003B1282"/>
    <w:pPr>
      <w:spacing w:line="240" w:lineRule="auto"/>
    </w:pPr>
    <w:rPr>
      <w:i/>
      <w:iCs/>
      <w:color w:val="44546A" w:themeColor="text2"/>
      <w:sz w:val="18"/>
      <w:szCs w:val="18"/>
    </w:rPr>
  </w:style>
  <w:style w:type="character" w:customStyle="1" w:styleId="ParagrafoelencoCarattere">
    <w:name w:val="Paragrafo elenco Carattere"/>
    <w:basedOn w:val="Carpredefinitoparagrafo"/>
    <w:link w:val="Paragrafoelenco"/>
    <w:uiPriority w:val="34"/>
    <w:locked/>
    <w:rsid w:val="003B1282"/>
  </w:style>
  <w:style w:type="table" w:styleId="Grigliatabella">
    <w:name w:val="Table Grid"/>
    <w:basedOn w:val="Tabellanormale"/>
    <w:uiPriority w:val="39"/>
    <w:rsid w:val="003B1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177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7752"/>
  </w:style>
  <w:style w:type="paragraph" w:styleId="Pidipagina">
    <w:name w:val="footer"/>
    <w:basedOn w:val="Normale"/>
    <w:link w:val="PidipaginaCarattere"/>
    <w:uiPriority w:val="99"/>
    <w:unhideWhenUsed/>
    <w:rsid w:val="003177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7752"/>
  </w:style>
  <w:style w:type="character" w:styleId="Rimandocommento">
    <w:name w:val="annotation reference"/>
    <w:basedOn w:val="Carpredefinitoparagrafo"/>
    <w:semiHidden/>
    <w:unhideWhenUsed/>
    <w:rsid w:val="000B63CD"/>
    <w:rPr>
      <w:sz w:val="16"/>
      <w:szCs w:val="16"/>
    </w:rPr>
  </w:style>
  <w:style w:type="paragraph" w:styleId="Testocommento">
    <w:name w:val="annotation text"/>
    <w:basedOn w:val="Normale"/>
    <w:link w:val="TestocommentoCarattere"/>
    <w:unhideWhenUsed/>
    <w:rsid w:val="000B63CD"/>
    <w:pPr>
      <w:spacing w:line="240" w:lineRule="auto"/>
    </w:pPr>
    <w:rPr>
      <w:sz w:val="20"/>
      <w:szCs w:val="20"/>
    </w:rPr>
  </w:style>
  <w:style w:type="character" w:customStyle="1" w:styleId="TestocommentoCarattere">
    <w:name w:val="Testo commento Carattere"/>
    <w:basedOn w:val="Carpredefinitoparagrafo"/>
    <w:link w:val="Testocommento"/>
    <w:rsid w:val="000B63CD"/>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0B63CD"/>
    <w:rPr>
      <w:b/>
      <w:bCs/>
    </w:rPr>
  </w:style>
  <w:style w:type="character" w:customStyle="1" w:styleId="SoggettocommentoCarattere">
    <w:name w:val="Soggetto commento Carattere"/>
    <w:basedOn w:val="TestocommentoCarattere"/>
    <w:link w:val="Soggettocommento"/>
    <w:uiPriority w:val="99"/>
    <w:semiHidden/>
    <w:rsid w:val="000B63CD"/>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0B63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3CD"/>
    <w:rPr>
      <w:rFonts w:ascii="Segoe UI" w:hAnsi="Segoe UI" w:cs="Segoe UI"/>
      <w:sz w:val="18"/>
      <w:szCs w:val="18"/>
    </w:rPr>
  </w:style>
  <w:style w:type="paragraph" w:customStyle="1" w:styleId="TitoloMinisteri">
    <w:name w:val="Titolo Ministeri"/>
    <w:basedOn w:val="Normale"/>
    <w:link w:val="TitoloMinisteriCarattere"/>
    <w:qFormat/>
    <w:rsid w:val="00A332B5"/>
    <w:pPr>
      <w:widowControl w:val="0"/>
      <w:autoSpaceDE w:val="0"/>
      <w:spacing w:after="80" w:line="240" w:lineRule="auto"/>
      <w:jc w:val="center"/>
      <w:outlineLvl w:val="0"/>
    </w:pPr>
    <w:rPr>
      <w:rFonts w:ascii="Kunstler Script" w:eastAsia="MS Mincho" w:hAnsi="Kunstler Script" w:cs="Kunstler Script"/>
      <w:b/>
      <w:bCs/>
      <w:sz w:val="72"/>
      <w:szCs w:val="72"/>
      <w:lang w:eastAsia="ar-SA"/>
    </w:rPr>
  </w:style>
  <w:style w:type="character" w:customStyle="1" w:styleId="TitoloMinisteriCarattere">
    <w:name w:val="Titolo Ministeri Carattere"/>
    <w:basedOn w:val="Carpredefinitoparagrafo"/>
    <w:link w:val="TitoloMinisteri"/>
    <w:rsid w:val="00A332B5"/>
    <w:rPr>
      <w:rFonts w:ascii="Kunstler Script" w:eastAsia="MS Mincho" w:hAnsi="Kunstler Script" w:cs="Kunstler Script"/>
      <w:b/>
      <w:bCs/>
      <w:sz w:val="72"/>
      <w:szCs w:val="72"/>
      <w:lang w:eastAsia="ar-SA"/>
    </w:rPr>
  </w:style>
  <w:style w:type="paragraph" w:styleId="Revisione">
    <w:name w:val="Revision"/>
    <w:hidden/>
    <w:uiPriority w:val="99"/>
    <w:semiHidden/>
    <w:rsid w:val="00A332B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8598">
      <w:bodyDiv w:val="1"/>
      <w:marLeft w:val="0"/>
      <w:marRight w:val="0"/>
      <w:marTop w:val="0"/>
      <w:marBottom w:val="0"/>
      <w:divBdr>
        <w:top w:val="none" w:sz="0" w:space="0" w:color="auto"/>
        <w:left w:val="none" w:sz="0" w:space="0" w:color="auto"/>
        <w:bottom w:val="none" w:sz="0" w:space="0" w:color="auto"/>
        <w:right w:val="none" w:sz="0" w:space="0" w:color="auto"/>
      </w:divBdr>
    </w:div>
    <w:div w:id="198470618">
      <w:bodyDiv w:val="1"/>
      <w:marLeft w:val="0"/>
      <w:marRight w:val="0"/>
      <w:marTop w:val="0"/>
      <w:marBottom w:val="0"/>
      <w:divBdr>
        <w:top w:val="none" w:sz="0" w:space="0" w:color="auto"/>
        <w:left w:val="none" w:sz="0" w:space="0" w:color="auto"/>
        <w:bottom w:val="none" w:sz="0" w:space="0" w:color="auto"/>
        <w:right w:val="none" w:sz="0" w:space="0" w:color="auto"/>
      </w:divBdr>
    </w:div>
    <w:div w:id="302274716">
      <w:bodyDiv w:val="1"/>
      <w:marLeft w:val="0"/>
      <w:marRight w:val="0"/>
      <w:marTop w:val="0"/>
      <w:marBottom w:val="0"/>
      <w:divBdr>
        <w:top w:val="none" w:sz="0" w:space="0" w:color="auto"/>
        <w:left w:val="none" w:sz="0" w:space="0" w:color="auto"/>
        <w:bottom w:val="none" w:sz="0" w:space="0" w:color="auto"/>
        <w:right w:val="none" w:sz="0" w:space="0" w:color="auto"/>
      </w:divBdr>
    </w:div>
    <w:div w:id="323976388">
      <w:bodyDiv w:val="1"/>
      <w:marLeft w:val="0"/>
      <w:marRight w:val="0"/>
      <w:marTop w:val="0"/>
      <w:marBottom w:val="0"/>
      <w:divBdr>
        <w:top w:val="none" w:sz="0" w:space="0" w:color="auto"/>
        <w:left w:val="none" w:sz="0" w:space="0" w:color="auto"/>
        <w:bottom w:val="none" w:sz="0" w:space="0" w:color="auto"/>
        <w:right w:val="none" w:sz="0" w:space="0" w:color="auto"/>
      </w:divBdr>
    </w:div>
    <w:div w:id="375086863">
      <w:bodyDiv w:val="1"/>
      <w:marLeft w:val="0"/>
      <w:marRight w:val="0"/>
      <w:marTop w:val="0"/>
      <w:marBottom w:val="0"/>
      <w:divBdr>
        <w:top w:val="none" w:sz="0" w:space="0" w:color="auto"/>
        <w:left w:val="none" w:sz="0" w:space="0" w:color="auto"/>
        <w:bottom w:val="none" w:sz="0" w:space="0" w:color="auto"/>
        <w:right w:val="none" w:sz="0" w:space="0" w:color="auto"/>
      </w:divBdr>
    </w:div>
    <w:div w:id="402413079">
      <w:bodyDiv w:val="1"/>
      <w:marLeft w:val="0"/>
      <w:marRight w:val="0"/>
      <w:marTop w:val="0"/>
      <w:marBottom w:val="0"/>
      <w:divBdr>
        <w:top w:val="none" w:sz="0" w:space="0" w:color="auto"/>
        <w:left w:val="none" w:sz="0" w:space="0" w:color="auto"/>
        <w:bottom w:val="none" w:sz="0" w:space="0" w:color="auto"/>
        <w:right w:val="none" w:sz="0" w:space="0" w:color="auto"/>
      </w:divBdr>
    </w:div>
    <w:div w:id="650601212">
      <w:bodyDiv w:val="1"/>
      <w:marLeft w:val="0"/>
      <w:marRight w:val="0"/>
      <w:marTop w:val="0"/>
      <w:marBottom w:val="0"/>
      <w:divBdr>
        <w:top w:val="none" w:sz="0" w:space="0" w:color="auto"/>
        <w:left w:val="none" w:sz="0" w:space="0" w:color="auto"/>
        <w:bottom w:val="none" w:sz="0" w:space="0" w:color="auto"/>
        <w:right w:val="none" w:sz="0" w:space="0" w:color="auto"/>
      </w:divBdr>
    </w:div>
    <w:div w:id="932282200">
      <w:bodyDiv w:val="1"/>
      <w:marLeft w:val="0"/>
      <w:marRight w:val="0"/>
      <w:marTop w:val="0"/>
      <w:marBottom w:val="0"/>
      <w:divBdr>
        <w:top w:val="none" w:sz="0" w:space="0" w:color="auto"/>
        <w:left w:val="none" w:sz="0" w:space="0" w:color="auto"/>
        <w:bottom w:val="none" w:sz="0" w:space="0" w:color="auto"/>
        <w:right w:val="none" w:sz="0" w:space="0" w:color="auto"/>
      </w:divBdr>
    </w:div>
    <w:div w:id="980109842">
      <w:bodyDiv w:val="1"/>
      <w:marLeft w:val="0"/>
      <w:marRight w:val="0"/>
      <w:marTop w:val="0"/>
      <w:marBottom w:val="0"/>
      <w:divBdr>
        <w:top w:val="none" w:sz="0" w:space="0" w:color="auto"/>
        <w:left w:val="none" w:sz="0" w:space="0" w:color="auto"/>
        <w:bottom w:val="none" w:sz="0" w:space="0" w:color="auto"/>
        <w:right w:val="none" w:sz="0" w:space="0" w:color="auto"/>
      </w:divBdr>
    </w:div>
    <w:div w:id="1072847005">
      <w:bodyDiv w:val="1"/>
      <w:marLeft w:val="0"/>
      <w:marRight w:val="0"/>
      <w:marTop w:val="0"/>
      <w:marBottom w:val="0"/>
      <w:divBdr>
        <w:top w:val="none" w:sz="0" w:space="0" w:color="auto"/>
        <w:left w:val="none" w:sz="0" w:space="0" w:color="auto"/>
        <w:bottom w:val="none" w:sz="0" w:space="0" w:color="auto"/>
        <w:right w:val="none" w:sz="0" w:space="0" w:color="auto"/>
      </w:divBdr>
    </w:div>
    <w:div w:id="2107774611">
      <w:bodyDiv w:val="1"/>
      <w:marLeft w:val="0"/>
      <w:marRight w:val="0"/>
      <w:marTop w:val="0"/>
      <w:marBottom w:val="0"/>
      <w:divBdr>
        <w:top w:val="none" w:sz="0" w:space="0" w:color="auto"/>
        <w:left w:val="none" w:sz="0" w:space="0" w:color="auto"/>
        <w:bottom w:val="none" w:sz="0" w:space="0" w:color="auto"/>
        <w:right w:val="none" w:sz="0" w:space="0" w:color="auto"/>
      </w:divBdr>
    </w:div>
    <w:div w:id="21186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Ferruccio</dc:creator>
  <cp:keywords/>
  <dc:description/>
  <cp:lastModifiedBy>Sara Romano</cp:lastModifiedBy>
  <cp:revision>2</cp:revision>
  <dcterms:created xsi:type="dcterms:W3CDTF">2022-02-08T17:10:00Z</dcterms:created>
  <dcterms:modified xsi:type="dcterms:W3CDTF">2022-02-08T17:10:00Z</dcterms:modified>
</cp:coreProperties>
</file>